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B99B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黑体" w:hAnsi="黑体" w:eastAsia="黑体" w:cs="黑体"/>
          <w:b w:val="0"/>
          <w:bCs w:val="0"/>
          <w:sz w:val="44"/>
          <w:highlight w:val="none"/>
          <w:vertAlign w:val="superscript"/>
        </w:rPr>
      </w:pPr>
      <w:r>
        <w:rPr>
          <w:rFonts w:hint="eastAsia" w:ascii="黑体" w:hAnsi="黑体" w:eastAsia="黑体" w:cs="黑体"/>
          <w:b w:val="0"/>
          <w:bCs w:val="0"/>
          <w:sz w:val="44"/>
          <w:highlight w:val="none"/>
        </w:rPr>
        <w:t>题目：</w:t>
      </w:r>
      <w:r>
        <w:rPr>
          <w:rFonts w:hint="eastAsia" w:ascii="黑体" w:hAnsi="黑体" w:eastAsia="黑体" w:cs="黑体"/>
          <w:b w:val="0"/>
          <w:bCs w:val="0"/>
          <w:sz w:val="44"/>
          <w:highlight w:val="none"/>
          <w:lang w:val="en-US" w:eastAsia="zh-CN"/>
        </w:rPr>
        <w:t>应用技术教育研究论文</w:t>
      </w:r>
      <w:r>
        <w:rPr>
          <w:rFonts w:hint="eastAsia" w:ascii="黑体" w:hAnsi="黑体" w:eastAsia="黑体" w:cs="黑体"/>
          <w:b w:val="0"/>
          <w:bCs w:val="0"/>
          <w:sz w:val="44"/>
          <w:highlight w:val="none"/>
        </w:rPr>
        <w:t>排版格式与书写要求</w:t>
      </w:r>
      <w:r>
        <w:rPr>
          <w:rFonts w:hint="eastAsia" w:ascii="黑体" w:hAnsi="黑体" w:eastAsia="黑体" w:cs="黑体"/>
          <w:b w:val="0"/>
          <w:bCs w:val="0"/>
          <w:color w:val="FF0000"/>
          <w:sz w:val="44"/>
          <w:highlight w:val="none"/>
        </w:rPr>
        <w:t>（二号黑体，一般不超过25个字）</w:t>
      </w:r>
    </w:p>
    <w:p w14:paraId="48108F2E">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eastAsia" w:ascii="楷体" w:hAnsi="楷体" w:eastAsia="楷体" w:cs="楷体"/>
          <w:b w:val="0"/>
          <w:bCs w:val="0"/>
          <w:sz w:val="30"/>
          <w:szCs w:val="30"/>
          <w:highlight w:val="none"/>
        </w:rPr>
      </w:pPr>
      <w:r>
        <w:rPr>
          <w:rFonts w:hint="eastAsia" w:ascii="楷体" w:hAnsi="楷体" w:eastAsia="楷体" w:cs="楷体"/>
          <w:b w:val="0"/>
          <w:bCs w:val="0"/>
          <w:sz w:val="30"/>
          <w:szCs w:val="30"/>
          <w:highlight w:val="none"/>
        </w:rPr>
        <w:t>——副标题</w:t>
      </w:r>
      <w:r>
        <w:rPr>
          <w:rFonts w:hint="eastAsia" w:ascii="楷体" w:hAnsi="楷体" w:eastAsia="楷体" w:cs="楷体"/>
          <w:b w:val="0"/>
          <w:bCs w:val="0"/>
          <w:color w:val="FF0000"/>
          <w:sz w:val="30"/>
          <w:szCs w:val="30"/>
          <w:highlight w:val="none"/>
        </w:rPr>
        <w:t>（小三号楷体）</w:t>
      </w:r>
    </w:p>
    <w:p w14:paraId="37242FA9">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ascii="楷体_GB2312" w:eastAsia="楷体_GB2312"/>
          <w:sz w:val="24"/>
        </w:rPr>
      </w:pPr>
      <w:r>
        <w:rPr>
          <w:rFonts w:hint="eastAsia" w:ascii="楷体_GB2312" w:eastAsia="楷体_GB2312"/>
          <w:sz w:val="28"/>
          <w:szCs w:val="28"/>
        </w:rPr>
        <w:t>张  三</w:t>
      </w:r>
      <w:r>
        <w:rPr>
          <w:rFonts w:ascii="楷体_GB2312" w:eastAsia="楷体_GB2312"/>
          <w:sz w:val="28"/>
          <w:szCs w:val="28"/>
          <w:vertAlign w:val="superscript"/>
        </w:rPr>
        <w:t>1</w:t>
      </w:r>
      <w:r>
        <w:rPr>
          <w:rFonts w:hint="eastAsia" w:ascii="楷体_GB2312" w:eastAsia="楷体_GB2312"/>
          <w:sz w:val="28"/>
          <w:szCs w:val="28"/>
          <w:vertAlign w:val="superscript"/>
          <w:lang w:val="en-US" w:eastAsia="zh-CN"/>
        </w:rPr>
        <w:t xml:space="preserve">  </w:t>
      </w:r>
      <w:r>
        <w:rPr>
          <w:rFonts w:hint="eastAsia" w:ascii="楷体_GB2312" w:eastAsia="楷体_GB2312"/>
          <w:sz w:val="28"/>
          <w:szCs w:val="28"/>
        </w:rPr>
        <w:t>李  四</w:t>
      </w:r>
      <w:r>
        <w:rPr>
          <w:rFonts w:ascii="楷体_GB2312" w:eastAsia="楷体_GB2312"/>
          <w:sz w:val="28"/>
          <w:szCs w:val="28"/>
          <w:vertAlign w:val="superscript"/>
        </w:rPr>
        <w:t>2</w:t>
      </w:r>
      <w:r>
        <w:rPr>
          <w:rFonts w:hint="eastAsia" w:ascii="楷体_GB2312" w:eastAsia="楷体_GB2312"/>
          <w:color w:val="FF0000"/>
          <w:sz w:val="28"/>
          <w:szCs w:val="28"/>
        </w:rPr>
        <w:t>（四号楷体</w:t>
      </w:r>
      <w:r>
        <w:rPr>
          <w:rFonts w:hint="eastAsia" w:ascii="楷体_GB2312" w:eastAsia="楷体_GB2312"/>
          <w:color w:val="FF0000"/>
          <w:sz w:val="28"/>
          <w:szCs w:val="28"/>
          <w:lang w:eastAsia="zh-CN"/>
        </w:rPr>
        <w:t>，</w:t>
      </w:r>
      <w:r>
        <w:rPr>
          <w:rFonts w:hint="eastAsia" w:ascii="楷体_GB2312" w:eastAsia="楷体_GB2312"/>
          <w:color w:val="FF0000"/>
          <w:sz w:val="28"/>
          <w:szCs w:val="28"/>
          <w:lang w:val="en-US" w:eastAsia="zh-CN"/>
        </w:rPr>
        <w:t>名字居中，名字</w:t>
      </w:r>
      <w:r>
        <w:rPr>
          <w:rFonts w:hint="eastAsia" w:ascii="楷体_GB2312" w:eastAsia="楷体_GB2312"/>
          <w:color w:val="FF0000"/>
          <w:sz w:val="28"/>
          <w:szCs w:val="28"/>
        </w:rPr>
        <w:t>中间</w:t>
      </w:r>
      <w:r>
        <w:rPr>
          <w:rFonts w:hint="eastAsia" w:ascii="楷体_GB2312" w:eastAsia="楷体_GB2312"/>
          <w:color w:val="FF0000"/>
          <w:sz w:val="28"/>
          <w:szCs w:val="28"/>
          <w:lang w:val="en-US" w:eastAsia="zh-CN"/>
        </w:rPr>
        <w:t>空1个字位</w:t>
      </w:r>
      <w:r>
        <w:rPr>
          <w:rFonts w:hint="eastAsia" w:ascii="楷体_GB2312" w:eastAsia="楷体_GB2312"/>
          <w:color w:val="FF0000"/>
          <w:sz w:val="28"/>
          <w:szCs w:val="28"/>
        </w:rPr>
        <w:t>）</w:t>
      </w:r>
    </w:p>
    <w:p w14:paraId="02454901">
      <w:pPr>
        <w:keepNext w:val="0"/>
        <w:keepLines w:val="0"/>
        <w:pageBreakBefore w:val="0"/>
        <w:widowControl w:val="0"/>
        <w:kinsoku/>
        <w:wordWrap/>
        <w:overflowPunct/>
        <w:topLinePunct w:val="0"/>
        <w:autoSpaceDE/>
        <w:autoSpaceDN/>
        <w:bidi w:val="0"/>
        <w:adjustRightInd w:val="0"/>
        <w:snapToGrid w:val="0"/>
        <w:spacing w:line="288" w:lineRule="auto"/>
        <w:ind w:right="420" w:rightChars="200"/>
        <w:jc w:val="center"/>
        <w:textAlignment w:val="auto"/>
      </w:pPr>
      <w:r>
        <w:rPr>
          <w:rFonts w:hint="eastAsia" w:ascii="仿宋_GB2312" w:eastAsia="仿宋_GB2312"/>
          <w:sz w:val="18"/>
        </w:rPr>
        <w:t>（1.</w:t>
      </w:r>
      <w:r>
        <w:rPr>
          <w:rFonts w:hint="eastAsia" w:ascii="仿宋_GB2312" w:eastAsia="仿宋_GB2312"/>
          <w:sz w:val="18"/>
          <w:lang w:val="en-US" w:eastAsia="zh-CN"/>
        </w:rPr>
        <w:t>武汉商贸职业学院</w:t>
      </w:r>
      <w:r>
        <w:rPr>
          <w:rFonts w:hint="eastAsia" w:ascii="仿宋_GB2312" w:eastAsia="仿宋_GB2312"/>
          <w:sz w:val="18"/>
        </w:rPr>
        <w:t xml:space="preserve"> </w:t>
      </w:r>
      <w:r>
        <w:rPr>
          <w:rFonts w:hint="eastAsia" w:ascii="仿宋_GB2312" w:eastAsia="仿宋_GB2312"/>
          <w:sz w:val="18"/>
          <w:lang w:val="en-US" w:eastAsia="zh-CN"/>
        </w:rPr>
        <w:t>现代商务技术</w:t>
      </w:r>
      <w:r>
        <w:rPr>
          <w:rFonts w:hint="eastAsia" w:ascii="仿宋_GB2312" w:eastAsia="仿宋_GB2312"/>
          <w:sz w:val="18"/>
        </w:rPr>
        <w:t>学院，</w:t>
      </w:r>
      <w:r>
        <w:rPr>
          <w:rFonts w:hint="eastAsia" w:ascii="仿宋_GB2312" w:eastAsia="仿宋_GB2312"/>
          <w:sz w:val="18"/>
          <w:lang w:val="en-US" w:eastAsia="zh-CN"/>
        </w:rPr>
        <w:t>湖北</w:t>
      </w:r>
      <w:r>
        <w:rPr>
          <w:rFonts w:hint="eastAsia" w:ascii="仿宋_GB2312" w:eastAsia="仿宋_GB2312"/>
          <w:sz w:val="18"/>
        </w:rPr>
        <w:t xml:space="preserve"> </w:t>
      </w:r>
      <w:r>
        <w:rPr>
          <w:rFonts w:hint="eastAsia" w:ascii="仿宋_GB2312" w:eastAsia="仿宋_GB2312"/>
          <w:sz w:val="18"/>
          <w:lang w:val="en-US" w:eastAsia="zh-CN"/>
        </w:rPr>
        <w:t>武汉430205</w:t>
      </w:r>
      <w:r>
        <w:rPr>
          <w:rFonts w:hint="eastAsia" w:ascii="仿宋_GB2312" w:eastAsia="仿宋_GB2312"/>
          <w:sz w:val="18"/>
        </w:rPr>
        <w:t>；2.</w:t>
      </w:r>
      <w:r>
        <w:rPr>
          <w:rFonts w:hint="eastAsia" w:ascii="仿宋_GB2312" w:eastAsia="仿宋_GB2312"/>
          <w:sz w:val="18"/>
          <w:lang w:val="en-US" w:eastAsia="zh-CN"/>
        </w:rPr>
        <w:t>武汉商贸职业学院</w:t>
      </w:r>
      <w:r>
        <w:rPr>
          <w:rFonts w:hint="eastAsia" w:ascii="仿宋_GB2312" w:eastAsia="仿宋_GB2312"/>
          <w:sz w:val="18"/>
        </w:rPr>
        <w:t xml:space="preserve"> </w:t>
      </w:r>
      <w:r>
        <w:rPr>
          <w:rFonts w:hint="eastAsia" w:ascii="仿宋_GB2312" w:eastAsia="仿宋_GB2312"/>
          <w:sz w:val="18"/>
          <w:lang w:val="en-US" w:eastAsia="zh-CN"/>
        </w:rPr>
        <w:t>现代管理技术</w:t>
      </w:r>
      <w:r>
        <w:rPr>
          <w:rFonts w:hint="eastAsia" w:ascii="仿宋_GB2312" w:eastAsia="仿宋_GB2312"/>
          <w:sz w:val="18"/>
        </w:rPr>
        <w:t>学院，</w:t>
      </w:r>
      <w:r>
        <w:rPr>
          <w:rFonts w:hint="eastAsia" w:ascii="仿宋_GB2312" w:eastAsia="仿宋_GB2312"/>
          <w:sz w:val="18"/>
          <w:lang w:val="en-US" w:eastAsia="zh-CN"/>
        </w:rPr>
        <w:t>湖北</w:t>
      </w:r>
      <w:r>
        <w:rPr>
          <w:rFonts w:hint="eastAsia" w:ascii="仿宋_GB2312" w:eastAsia="仿宋_GB2312"/>
          <w:sz w:val="18"/>
        </w:rPr>
        <w:t xml:space="preserve"> </w:t>
      </w:r>
      <w:r>
        <w:rPr>
          <w:rFonts w:hint="eastAsia" w:ascii="仿宋_GB2312" w:eastAsia="仿宋_GB2312"/>
          <w:sz w:val="18"/>
          <w:lang w:val="en-US" w:eastAsia="zh-CN"/>
        </w:rPr>
        <w:t>武汉430205</w:t>
      </w:r>
      <w:r>
        <w:rPr>
          <w:rFonts w:hint="eastAsia" w:ascii="仿宋_GB2312" w:eastAsia="仿宋_GB2312"/>
          <w:sz w:val="18"/>
        </w:rPr>
        <w:t>）</w:t>
      </w:r>
      <w:r>
        <w:rPr>
          <w:rFonts w:hint="eastAsia" w:ascii="仿宋_GB2312" w:eastAsia="仿宋_GB2312"/>
          <w:color w:val="FF0000"/>
          <w:sz w:val="18"/>
          <w:lang w:eastAsia="zh-CN"/>
        </w:rPr>
        <w:t>（</w:t>
      </w:r>
      <w:r>
        <w:rPr>
          <w:rFonts w:hint="eastAsia" w:ascii="仿宋_GB2312" w:eastAsia="仿宋_GB2312"/>
          <w:color w:val="FF0000"/>
          <w:sz w:val="18"/>
          <w:lang w:val="en-US" w:eastAsia="zh-CN"/>
        </w:rPr>
        <w:t>居中，</w:t>
      </w:r>
      <w:r>
        <w:rPr>
          <w:rFonts w:hint="eastAsia" w:ascii="仿宋_GB2312" w:eastAsia="仿宋_GB2312"/>
          <w:color w:val="FF0000"/>
          <w:sz w:val="18"/>
        </w:rPr>
        <w:t>小五，仿宋</w:t>
      </w:r>
      <w:r>
        <w:rPr>
          <w:rFonts w:hint="eastAsia" w:ascii="仿宋_GB2312" w:eastAsia="仿宋_GB2312"/>
          <w:color w:val="FF0000"/>
          <w:sz w:val="18"/>
          <w:lang w:eastAsia="zh-CN"/>
        </w:rPr>
        <w:t>）</w:t>
      </w:r>
    </w:p>
    <w:p w14:paraId="370E6057">
      <w:pPr>
        <w:keepNext w:val="0"/>
        <w:keepLines w:val="0"/>
        <w:pageBreakBefore w:val="0"/>
        <w:widowControl w:val="0"/>
        <w:kinsoku/>
        <w:wordWrap/>
        <w:overflowPunct/>
        <w:topLinePunct w:val="0"/>
        <w:autoSpaceDE/>
        <w:autoSpaceDN/>
        <w:bidi w:val="0"/>
        <w:adjustRightInd w:val="0"/>
        <w:snapToGrid w:val="0"/>
        <w:spacing w:line="288" w:lineRule="auto"/>
        <w:textAlignment w:val="auto"/>
      </w:pPr>
    </w:p>
    <w:p w14:paraId="3D92AD32">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textAlignment w:val="auto"/>
        <w:rPr>
          <w:color w:val="FF0000"/>
          <w:sz w:val="18"/>
        </w:rPr>
      </w:pPr>
      <w:r>
        <w:rPr>
          <w:rFonts w:hint="eastAsia" w:ascii="黑体" w:hAnsi="黑体" w:eastAsia="黑体" w:cs="黑体"/>
          <w:b w:val="0"/>
          <w:bCs w:val="0"/>
          <w:sz w:val="18"/>
        </w:rPr>
        <w:t>摘  要</w:t>
      </w:r>
      <w:r>
        <w:rPr>
          <w:rFonts w:hint="eastAsia" w:ascii="黑体" w:hAnsi="黑体" w:eastAsia="黑体" w:cs="黑体"/>
          <w:color w:val="FF0000"/>
          <w:sz w:val="18"/>
        </w:rPr>
        <w:t>(小五，黑体)</w:t>
      </w:r>
      <w:r>
        <w:rPr>
          <w:rFonts w:hint="eastAsia" w:ascii="黑体" w:hAnsi="黑体" w:eastAsia="黑体" w:cs="黑体"/>
          <w:sz w:val="18"/>
        </w:rPr>
        <w:t>：</w:t>
      </w:r>
      <w:r>
        <w:rPr>
          <w:rFonts w:hint="eastAsia" w:ascii="宋体" w:hAnsi="宋体" w:cs="宋体"/>
          <w:color w:val="auto"/>
          <w:sz w:val="18"/>
        </w:rPr>
        <w:t>中文摘要</w:t>
      </w:r>
      <w:r>
        <w:rPr>
          <w:rFonts w:hint="default" w:ascii="Times New Roman" w:hAnsi="Times New Roman" w:cs="Times New Roman"/>
          <w:color w:val="auto"/>
          <w:sz w:val="18"/>
        </w:rPr>
        <w:t>300</w:t>
      </w:r>
      <w:r>
        <w:rPr>
          <w:rFonts w:hint="default" w:ascii="Times New Roman" w:hAnsi="Times New Roman" w:eastAsia="黑体" w:cs="Times New Roman"/>
          <w:color w:val="auto"/>
          <w:sz w:val="18"/>
        </w:rPr>
        <w:t>~</w:t>
      </w:r>
      <w:r>
        <w:rPr>
          <w:rFonts w:hint="default" w:ascii="Times New Roman" w:hAnsi="Times New Roman" w:cs="Times New Roman"/>
          <w:color w:val="auto"/>
          <w:sz w:val="18"/>
        </w:rPr>
        <w:t>500</w:t>
      </w:r>
      <w:r>
        <w:rPr>
          <w:rFonts w:hint="eastAsia" w:ascii="宋体" w:hAnsi="宋体" w:cs="宋体"/>
          <w:color w:val="auto"/>
          <w:sz w:val="18"/>
        </w:rPr>
        <w:t>字为宜。英文摘要应与中文摘要相对应。摘要使用第三人称写作，不使用“本文”“我们”等作为主语。摘要主要介绍文章</w:t>
      </w:r>
      <w:r>
        <w:rPr>
          <w:rFonts w:hint="eastAsia" w:ascii="宋体" w:hAnsi="宋体" w:cs="宋体"/>
          <w:color w:val="auto"/>
          <w:sz w:val="18"/>
          <w:lang w:val="en-US" w:eastAsia="zh-CN"/>
        </w:rPr>
        <w:t>的</w:t>
      </w:r>
      <w:r>
        <w:rPr>
          <w:rFonts w:hint="eastAsia" w:ascii="宋体" w:hAnsi="宋体" w:cs="宋体"/>
          <w:color w:val="auto"/>
          <w:sz w:val="18"/>
        </w:rPr>
        <w:t>研究</w:t>
      </w:r>
      <w:r>
        <w:rPr>
          <w:rFonts w:hint="eastAsia" w:ascii="宋体" w:hAnsi="宋体" w:cs="宋体"/>
          <w:color w:val="auto"/>
          <w:sz w:val="18"/>
          <w:lang w:val="en-US" w:eastAsia="zh-CN"/>
        </w:rPr>
        <w:t>背景</w:t>
      </w:r>
      <w:r>
        <w:rPr>
          <w:rFonts w:hint="eastAsia" w:ascii="宋体" w:hAnsi="宋体" w:cs="宋体"/>
          <w:color w:val="auto"/>
          <w:sz w:val="18"/>
        </w:rPr>
        <w:t>及选题意义</w:t>
      </w:r>
      <w:r>
        <w:rPr>
          <w:rFonts w:hint="eastAsia" w:ascii="宋体" w:hAnsi="宋体" w:cs="宋体"/>
          <w:color w:val="auto"/>
          <w:sz w:val="18"/>
          <w:lang w:eastAsia="zh-CN"/>
        </w:rPr>
        <w:t>、</w:t>
      </w:r>
      <w:r>
        <w:rPr>
          <w:rFonts w:hint="eastAsia" w:ascii="宋体" w:hAnsi="宋体" w:cs="宋体"/>
          <w:color w:val="auto"/>
          <w:sz w:val="18"/>
        </w:rPr>
        <w:t>基础数据和研究方法</w:t>
      </w:r>
      <w:r>
        <w:rPr>
          <w:rFonts w:hint="eastAsia" w:ascii="宋体" w:hAnsi="宋体" w:cs="宋体"/>
          <w:color w:val="auto"/>
          <w:sz w:val="18"/>
          <w:lang w:eastAsia="zh-CN"/>
        </w:rPr>
        <w:t>、</w:t>
      </w:r>
      <w:r>
        <w:rPr>
          <w:rFonts w:hint="eastAsia" w:ascii="宋体" w:hAnsi="宋体" w:cs="宋体"/>
          <w:color w:val="auto"/>
          <w:sz w:val="18"/>
        </w:rPr>
        <w:t>主要结论</w:t>
      </w:r>
      <w:r>
        <w:rPr>
          <w:rFonts w:hint="eastAsia" w:ascii="宋体" w:hAnsi="宋体" w:cs="宋体"/>
          <w:color w:val="auto"/>
          <w:sz w:val="18"/>
          <w:lang w:eastAsia="zh-CN"/>
        </w:rPr>
        <w:t>（</w:t>
      </w:r>
      <w:r>
        <w:rPr>
          <w:rFonts w:hint="eastAsia" w:ascii="宋体" w:hAnsi="宋体" w:cs="宋体"/>
          <w:color w:val="auto"/>
          <w:sz w:val="18"/>
        </w:rPr>
        <w:t>取得的正确观点、意义价值、创新点和政策建议</w:t>
      </w:r>
      <w:r>
        <w:rPr>
          <w:rFonts w:hint="eastAsia" w:ascii="宋体" w:hAnsi="宋体" w:cs="宋体"/>
          <w:color w:val="auto"/>
          <w:sz w:val="18"/>
          <w:lang w:val="en-US" w:eastAsia="zh-CN"/>
        </w:rPr>
        <w:t>等</w:t>
      </w:r>
      <w:r>
        <w:rPr>
          <w:rFonts w:hint="eastAsia" w:ascii="宋体" w:hAnsi="宋体" w:cs="宋体"/>
          <w:color w:val="auto"/>
          <w:sz w:val="18"/>
          <w:lang w:eastAsia="zh-CN"/>
        </w:rPr>
        <w:t>）。</w:t>
      </w:r>
      <w:r>
        <w:rPr>
          <w:rFonts w:hint="eastAsia" w:ascii="宋体" w:hAnsi="宋体" w:cs="宋体"/>
          <w:color w:val="auto"/>
          <w:sz w:val="18"/>
        </w:rPr>
        <w:t>（</w:t>
      </w:r>
      <w:r>
        <w:rPr>
          <w:rFonts w:hint="eastAsia" w:ascii="宋体" w:hAnsi="宋体" w:cs="宋体"/>
          <w:color w:val="FF0000"/>
          <w:sz w:val="18"/>
        </w:rPr>
        <w:t>小五，宋体）</w:t>
      </w:r>
    </w:p>
    <w:p w14:paraId="0C9A0D0B">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textAlignment w:val="auto"/>
        <w:rPr>
          <w:sz w:val="18"/>
        </w:rPr>
      </w:pPr>
      <w:r>
        <w:rPr>
          <w:rFonts w:hint="eastAsia" w:ascii="黑体" w:hAnsi="黑体" w:eastAsia="黑体" w:cs="黑体"/>
          <w:b w:val="0"/>
          <w:bCs w:val="0"/>
          <w:sz w:val="18"/>
        </w:rPr>
        <w:t>关键词</w:t>
      </w:r>
      <w:r>
        <w:rPr>
          <w:rFonts w:hint="eastAsia" w:ascii="黑体" w:hAnsi="黑体" w:eastAsia="黑体" w:cs="黑体"/>
          <w:b w:val="0"/>
          <w:bCs w:val="0"/>
          <w:color w:val="FF0000"/>
          <w:sz w:val="18"/>
        </w:rPr>
        <w:t>(</w:t>
      </w:r>
      <w:r>
        <w:rPr>
          <w:rFonts w:hint="eastAsia" w:ascii="黑体" w:hAnsi="黑体" w:eastAsia="黑体" w:cs="黑体"/>
          <w:color w:val="FF0000"/>
          <w:sz w:val="18"/>
        </w:rPr>
        <w:t>小五，黑体)</w:t>
      </w:r>
      <w:r>
        <w:rPr>
          <w:rFonts w:hint="eastAsia" w:ascii="黑体" w:hAnsi="黑体" w:eastAsia="黑体" w:cs="黑体"/>
          <w:sz w:val="18"/>
        </w:rPr>
        <w:t>：</w:t>
      </w:r>
      <w:r>
        <w:rPr>
          <w:rFonts w:hint="eastAsia" w:ascii="宋体" w:hAnsi="宋体" w:cs="宋体"/>
          <w:sz w:val="18"/>
          <w:lang w:val="en-US" w:eastAsia="zh-CN"/>
        </w:rPr>
        <w:t>应用技术教育研究；</w:t>
      </w:r>
      <w:r>
        <w:rPr>
          <w:rFonts w:hint="eastAsia" w:ascii="宋体" w:hAnsi="宋体" w:cs="宋体"/>
          <w:sz w:val="18"/>
        </w:rPr>
        <w:t>论文；排版</w:t>
      </w:r>
      <w:r>
        <w:rPr>
          <w:rFonts w:hint="eastAsia" w:ascii="宋体" w:hAnsi="宋体" w:cs="宋体"/>
          <w:sz w:val="18"/>
          <w:lang w:eastAsia="zh-CN"/>
        </w:rPr>
        <w:t>；</w:t>
      </w:r>
      <w:r>
        <w:rPr>
          <w:rFonts w:hint="eastAsia" w:ascii="宋体" w:hAnsi="宋体" w:cs="宋体"/>
          <w:sz w:val="18"/>
        </w:rPr>
        <w:t>格式；</w:t>
      </w:r>
      <w:r>
        <w:rPr>
          <w:rFonts w:hint="eastAsia" w:ascii="宋体" w:hAnsi="宋体" w:cs="宋体"/>
          <w:sz w:val="18"/>
          <w:lang w:val="en-US" w:eastAsia="zh-CN"/>
        </w:rPr>
        <w:t>书写要求</w:t>
      </w:r>
      <w:r>
        <w:rPr>
          <w:rFonts w:hint="eastAsia" w:ascii="宋体" w:hAnsi="宋体" w:cs="宋体"/>
          <w:color w:val="FF0000"/>
          <w:sz w:val="18"/>
        </w:rPr>
        <w:t>（</w:t>
      </w:r>
      <w:r>
        <w:rPr>
          <w:rFonts w:hint="default" w:ascii="Times New Roman" w:hAnsi="Times New Roman" w:cs="Times New Roman"/>
          <w:color w:val="FF0000"/>
          <w:sz w:val="18"/>
        </w:rPr>
        <w:t>3</w:t>
      </w:r>
      <w:r>
        <w:rPr>
          <w:rFonts w:hint="default" w:ascii="Times New Roman" w:hAnsi="Times New Roman" w:eastAsia="黑体" w:cs="Times New Roman"/>
          <w:color w:val="FF0000"/>
          <w:sz w:val="18"/>
        </w:rPr>
        <w:t>~</w:t>
      </w:r>
      <w:r>
        <w:rPr>
          <w:rFonts w:hint="default" w:ascii="Times New Roman" w:hAnsi="Times New Roman" w:cs="Times New Roman"/>
          <w:color w:val="FF0000"/>
          <w:sz w:val="18"/>
        </w:rPr>
        <w:t>5</w:t>
      </w:r>
      <w:r>
        <w:rPr>
          <w:rFonts w:hint="eastAsia" w:ascii="宋体" w:hAnsi="宋体" w:cs="宋体"/>
          <w:color w:val="FF0000"/>
          <w:sz w:val="18"/>
        </w:rPr>
        <w:t>个为宜，注意中英文关键词的内容、顺序一致，按重要性排序，小五，宋体）</w:t>
      </w:r>
    </w:p>
    <w:p w14:paraId="26753FC7">
      <w:pPr>
        <w:pStyle w:val="15"/>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rPr>
      </w:pPr>
    </w:p>
    <w:p w14:paraId="637D449C">
      <w:pPr>
        <w:pStyle w:val="15"/>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color w:val="FF0000"/>
        </w:rPr>
      </w:pPr>
      <w:r>
        <w:rPr>
          <w:rFonts w:hint="eastAsia"/>
        </w:rPr>
        <w:t>引言应说明本研究的意义，重点阐述本文的目的、方法与分析结果等。</w:t>
      </w:r>
      <w:r>
        <w:rPr>
          <w:rFonts w:hint="eastAsia"/>
          <w:color w:val="FF0000"/>
        </w:rPr>
        <w:t>（引言不设小标题，不计入章节编号。五号，宋体）</w:t>
      </w:r>
    </w:p>
    <w:p w14:paraId="1590CC7B">
      <w:pPr>
        <w:pStyle w:val="15"/>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color w:val="FF0000"/>
        </w:rPr>
      </w:pPr>
      <w:r>
        <w:rPr>
          <w:rFonts w:hint="eastAsia"/>
          <w:color w:val="FF0000"/>
          <w:lang w:val="en-US" w:eastAsia="zh-CN"/>
        </w:rPr>
        <w:t>文章</w:t>
      </w:r>
      <w:r>
        <w:rPr>
          <w:rFonts w:hint="eastAsia"/>
          <w:color w:val="FF0000"/>
        </w:rPr>
        <w:t>篇幅：以5000-9000字为宜（包括空格和图表占位）</w:t>
      </w:r>
    </w:p>
    <w:p w14:paraId="57BE0CC8">
      <w:pPr>
        <w:keepNext w:val="0"/>
        <w:keepLines w:val="0"/>
        <w:pageBreakBefore w:val="0"/>
        <w:widowControl w:val="0"/>
        <w:kinsoku/>
        <w:wordWrap/>
        <w:overflowPunct/>
        <w:autoSpaceDE/>
        <w:autoSpaceDN/>
        <w:bidi w:val="0"/>
        <w:adjustRightInd w:val="0"/>
        <w:snapToGrid w:val="0"/>
        <w:spacing w:before="156" w:beforeLines="50" w:after="156" w:afterLines="50" w:line="288" w:lineRule="auto"/>
        <w:ind w:firstLine="480" w:firstLineChars="200"/>
        <w:textAlignment w:val="auto"/>
        <w:rPr>
          <w:rFonts w:eastAsia="黑体"/>
          <w:b w:val="0"/>
          <w:bCs w:val="0"/>
          <w:color w:val="FF0000"/>
          <w:sz w:val="24"/>
        </w:rPr>
      </w:pPr>
      <w:r>
        <w:rPr>
          <w:rFonts w:hint="eastAsia" w:eastAsia="黑体"/>
          <w:b w:val="0"/>
          <w:bCs w:val="0"/>
          <w:sz w:val="24"/>
        </w:rPr>
        <w:t>一、论文</w:t>
      </w:r>
      <w:r>
        <w:rPr>
          <w:rFonts w:hint="eastAsia" w:eastAsia="黑体"/>
          <w:b w:val="0"/>
          <w:bCs w:val="0"/>
          <w:sz w:val="24"/>
          <w:lang w:val="en-US" w:eastAsia="zh-CN"/>
        </w:rPr>
        <w:t>正文</w:t>
      </w:r>
      <w:r>
        <w:rPr>
          <w:rFonts w:hint="eastAsia" w:eastAsia="黑体"/>
          <w:b w:val="0"/>
          <w:bCs w:val="0"/>
          <w:color w:val="FF0000"/>
          <w:sz w:val="24"/>
        </w:rPr>
        <w:t>（一级标题，小四号，黑体）</w:t>
      </w:r>
    </w:p>
    <w:p w14:paraId="30FD3504">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color w:val="FF0000"/>
          <w:szCs w:val="21"/>
        </w:rPr>
      </w:pPr>
      <w:r>
        <w:rPr>
          <w:rFonts w:hint="eastAsia"/>
          <w:szCs w:val="21"/>
        </w:rPr>
        <w:t>稿件正文的标题、图、表格、</w:t>
      </w:r>
      <w:r>
        <w:rPr>
          <w:rFonts w:hint="eastAsia"/>
          <w:szCs w:val="21"/>
          <w:lang w:val="en-US" w:eastAsia="zh-CN"/>
        </w:rPr>
        <w:t>公式等</w:t>
      </w:r>
      <w:r>
        <w:rPr>
          <w:rFonts w:hint="eastAsia"/>
          <w:szCs w:val="21"/>
        </w:rPr>
        <w:t>须分别连续编号。其中正文一般不超过</w:t>
      </w:r>
      <w:r>
        <w:rPr>
          <w:rFonts w:hint="eastAsia"/>
          <w:szCs w:val="21"/>
          <w:lang w:val="en-US" w:eastAsia="zh-CN"/>
        </w:rPr>
        <w:t>四</w:t>
      </w:r>
      <w:r>
        <w:rPr>
          <w:rFonts w:hint="eastAsia"/>
          <w:szCs w:val="21"/>
        </w:rPr>
        <w:t>级标题，章节标题一般不宜超过15个字。</w:t>
      </w:r>
      <w:bookmarkStart w:id="2" w:name="_GoBack"/>
      <w:bookmarkEnd w:id="2"/>
      <w:r>
        <w:rPr>
          <w:rFonts w:hint="eastAsia"/>
          <w:szCs w:val="21"/>
        </w:rPr>
        <w:t>如一、（一）、1</w:t>
      </w:r>
      <w:r>
        <w:rPr>
          <w:rFonts w:hint="eastAsia"/>
          <w:szCs w:val="21"/>
          <w:lang w:eastAsia="zh-CN"/>
        </w:rPr>
        <w:t>、（</w:t>
      </w:r>
      <w:r>
        <w:rPr>
          <w:rFonts w:hint="eastAsia"/>
          <w:szCs w:val="21"/>
          <w:lang w:val="en-US" w:eastAsia="zh-CN"/>
        </w:rPr>
        <w:t>1）</w:t>
      </w:r>
      <w:r>
        <w:rPr>
          <w:rFonts w:hint="eastAsia"/>
          <w:szCs w:val="21"/>
        </w:rPr>
        <w:t>字号分别为小四黑体</w:t>
      </w:r>
      <w:r>
        <w:rPr>
          <w:rFonts w:hint="eastAsia"/>
          <w:szCs w:val="21"/>
          <w:lang w:eastAsia="zh-CN"/>
        </w:rPr>
        <w:t>、</w:t>
      </w:r>
      <w:r>
        <w:rPr>
          <w:rFonts w:hint="eastAsia"/>
          <w:szCs w:val="21"/>
        </w:rPr>
        <w:t>五号黑体</w:t>
      </w:r>
      <w:r>
        <w:rPr>
          <w:rFonts w:hint="eastAsia"/>
          <w:szCs w:val="21"/>
          <w:lang w:eastAsia="zh-CN"/>
        </w:rPr>
        <w:t>、</w:t>
      </w:r>
      <w:r>
        <w:rPr>
          <w:rFonts w:hint="eastAsia"/>
          <w:szCs w:val="21"/>
        </w:rPr>
        <w:t>五号宋体</w:t>
      </w:r>
      <w:r>
        <w:rPr>
          <w:rFonts w:hint="eastAsia"/>
          <w:szCs w:val="21"/>
          <w:lang w:eastAsia="zh-CN"/>
        </w:rPr>
        <w:t>、</w:t>
      </w:r>
      <w:r>
        <w:rPr>
          <w:rFonts w:hint="eastAsia"/>
          <w:szCs w:val="21"/>
        </w:rPr>
        <w:t>五号宋体</w:t>
      </w:r>
      <w:r>
        <w:rPr>
          <w:rFonts w:hint="eastAsia"/>
          <w:szCs w:val="21"/>
          <w:lang w:eastAsia="zh-CN"/>
        </w:rPr>
        <w:t>，</w:t>
      </w:r>
      <w:r>
        <w:rPr>
          <w:rFonts w:hint="eastAsia"/>
          <w:szCs w:val="21"/>
        </w:rPr>
        <w:t>各级标题</w:t>
      </w:r>
      <w:r>
        <w:rPr>
          <w:rFonts w:hint="eastAsia"/>
          <w:szCs w:val="21"/>
          <w:lang w:val="en-US" w:eastAsia="zh-CN"/>
        </w:rPr>
        <w:t>及正文首行缩进2字符</w:t>
      </w:r>
      <w:r>
        <w:rPr>
          <w:rFonts w:hint="eastAsia"/>
          <w:szCs w:val="21"/>
        </w:rPr>
        <w:t>左对齐。前三级标题独占一行，四级及以下与正文连排。</w:t>
      </w:r>
      <w:r>
        <w:rPr>
          <w:rFonts w:hint="eastAsia"/>
          <w:szCs w:val="21"/>
          <w:highlight w:val="none"/>
          <w:lang w:val="en-US" w:eastAsia="zh-CN"/>
        </w:rPr>
        <w:t>全文1.2倍行距</w:t>
      </w:r>
      <w:r>
        <w:rPr>
          <w:rFonts w:hint="eastAsia"/>
          <w:color w:val="auto"/>
          <w:szCs w:val="21"/>
          <w:highlight w:val="none"/>
          <w:lang w:val="en-US" w:eastAsia="zh-CN"/>
        </w:rPr>
        <w:t>。</w:t>
      </w:r>
      <w:r>
        <w:rPr>
          <w:rFonts w:hint="eastAsia"/>
          <w:color w:val="auto"/>
          <w:szCs w:val="21"/>
        </w:rPr>
        <w:t>正文</w:t>
      </w:r>
      <w:r>
        <w:rPr>
          <w:rFonts w:hint="eastAsia"/>
          <w:color w:val="auto"/>
          <w:szCs w:val="21"/>
          <w:lang w:val="en-US" w:eastAsia="zh-CN"/>
        </w:rPr>
        <w:t>中文</w:t>
      </w:r>
      <w:r>
        <w:rPr>
          <w:rFonts w:hint="eastAsia"/>
          <w:color w:val="auto"/>
          <w:szCs w:val="21"/>
        </w:rPr>
        <w:t>五号宋体</w:t>
      </w:r>
      <w:r>
        <w:rPr>
          <w:rFonts w:hint="eastAsia"/>
          <w:color w:val="auto"/>
          <w:szCs w:val="21"/>
          <w:lang w:eastAsia="zh-CN"/>
        </w:rPr>
        <w:t>，</w:t>
      </w:r>
      <w:r>
        <w:rPr>
          <w:rFonts w:hint="eastAsia"/>
          <w:color w:val="auto"/>
          <w:szCs w:val="21"/>
          <w:lang w:val="en-US" w:eastAsia="zh-CN"/>
        </w:rPr>
        <w:t>英文、阿拉伯数字、公示符号、半角标点用Times New Roman。</w:t>
      </w:r>
    </w:p>
    <w:p w14:paraId="7CE7A48E">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szCs w:val="21"/>
        </w:rPr>
      </w:pPr>
      <w:r>
        <w:rPr>
          <w:rFonts w:hint="eastAsia"/>
          <w:szCs w:val="21"/>
        </w:rPr>
        <w:t>论文层次体例为：中文文题、作者姓名、单位及所属部门、单位地址、邮编、中文摘要、关键词、基金项目</w:t>
      </w:r>
      <w:r>
        <w:rPr>
          <w:rFonts w:hint="eastAsia"/>
          <w:szCs w:val="21"/>
          <w:lang w:eastAsia="zh-CN"/>
        </w:rPr>
        <w:t>（</w:t>
      </w:r>
      <w:r>
        <w:rPr>
          <w:rFonts w:hint="eastAsia"/>
          <w:szCs w:val="21"/>
        </w:rPr>
        <w:t>首页下注</w:t>
      </w:r>
      <w:r>
        <w:rPr>
          <w:rFonts w:hint="eastAsia"/>
          <w:szCs w:val="21"/>
          <w:lang w:eastAsia="zh-CN"/>
        </w:rPr>
        <w:t>）</w:t>
      </w:r>
      <w:r>
        <w:rPr>
          <w:rFonts w:hint="eastAsia"/>
          <w:szCs w:val="21"/>
        </w:rPr>
        <w:t>、作者简介</w:t>
      </w:r>
      <w:r>
        <w:rPr>
          <w:rFonts w:hint="eastAsia"/>
          <w:szCs w:val="21"/>
          <w:lang w:eastAsia="zh-CN"/>
        </w:rPr>
        <w:t>（</w:t>
      </w:r>
      <w:r>
        <w:rPr>
          <w:rFonts w:hint="eastAsia"/>
          <w:szCs w:val="21"/>
          <w:lang w:val="en-US" w:eastAsia="zh-CN"/>
        </w:rPr>
        <w:t>首页下注</w:t>
      </w:r>
      <w:r>
        <w:rPr>
          <w:rFonts w:hint="eastAsia"/>
          <w:szCs w:val="21"/>
          <w:lang w:eastAsia="zh-CN"/>
        </w:rPr>
        <w:t>）</w:t>
      </w:r>
      <w:r>
        <w:rPr>
          <w:rFonts w:hint="eastAsia"/>
          <w:szCs w:val="21"/>
        </w:rPr>
        <w:t>、稿件正文、参考文献。</w:t>
      </w:r>
    </w:p>
    <w:p w14:paraId="5DA0CE13">
      <w:pPr>
        <w:keepNext w:val="0"/>
        <w:keepLines w:val="0"/>
        <w:pageBreakBefore w:val="0"/>
        <w:widowControl w:val="0"/>
        <w:kinsoku/>
        <w:wordWrap/>
        <w:overflowPunct/>
        <w:topLinePunct w:val="0"/>
        <w:autoSpaceDE/>
        <w:autoSpaceDN/>
        <w:bidi w:val="0"/>
        <w:adjustRightInd w:val="0"/>
        <w:snapToGrid w:val="0"/>
        <w:spacing w:before="156" w:beforeLines="50" w:after="156" w:afterLines="50" w:line="288" w:lineRule="auto"/>
        <w:ind w:firstLine="480" w:firstLineChars="200"/>
        <w:textAlignment w:val="auto"/>
        <w:rPr>
          <w:rFonts w:hint="eastAsia" w:ascii="黑体" w:hAnsi="黑体" w:eastAsia="黑体" w:cs="黑体"/>
          <w:b w:val="0"/>
          <w:bCs w:val="0"/>
          <w:sz w:val="24"/>
        </w:rPr>
      </w:pPr>
      <w:r>
        <w:rPr>
          <w:rFonts w:hint="eastAsia" w:ascii="黑体" w:hAnsi="黑体" w:eastAsia="黑体" w:cs="黑体"/>
          <w:b w:val="0"/>
          <w:bCs w:val="0"/>
          <w:sz w:val="24"/>
        </w:rPr>
        <w:t>二、图表</w:t>
      </w:r>
      <w:r>
        <w:rPr>
          <w:rFonts w:hint="eastAsia" w:ascii="黑体" w:hAnsi="黑体" w:eastAsia="黑体" w:cs="黑体"/>
          <w:b w:val="0"/>
          <w:bCs w:val="0"/>
          <w:color w:val="FF0000"/>
          <w:sz w:val="24"/>
        </w:rPr>
        <w:t>（一级标题，小四号，黑体）</w:t>
      </w:r>
    </w:p>
    <w:p w14:paraId="7D0E9DB8">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hint="eastAsia" w:ascii="黑体" w:hAnsi="黑体" w:eastAsia="黑体" w:cs="黑体"/>
        </w:rPr>
      </w:pPr>
      <w:r>
        <w:rPr>
          <w:rFonts w:hint="eastAsia" w:ascii="黑体" w:hAnsi="黑体" w:eastAsia="黑体" w:cs="黑体"/>
        </w:rPr>
        <w:t>（一）插图</w:t>
      </w:r>
      <w:r>
        <w:rPr>
          <w:rFonts w:hint="eastAsia" w:ascii="黑体" w:hAnsi="黑体" w:eastAsia="黑体" w:cs="黑体"/>
          <w:color w:val="FF0000"/>
          <w:szCs w:val="21"/>
        </w:rPr>
        <w:t>（二级标题，五号，黑体）</w:t>
      </w:r>
    </w:p>
    <w:p w14:paraId="5A61CFD3">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ascii="宋体"/>
        </w:rPr>
      </w:pPr>
      <w:r>
        <w:rPr>
          <w:rFonts w:hint="eastAsia" w:ascii="宋体"/>
        </w:rPr>
        <w:t>图片</w:t>
      </w:r>
      <w:r>
        <w:rPr>
          <w:rFonts w:hint="eastAsia" w:ascii="宋体"/>
          <w:lang w:val="en-US" w:eastAsia="zh-CN"/>
        </w:rPr>
        <w:t>清晰</w:t>
      </w:r>
      <w:r>
        <w:rPr>
          <w:rFonts w:hint="eastAsia" w:ascii="宋体"/>
        </w:rPr>
        <w:t>并保证分辨率达到</w:t>
      </w:r>
      <w:r>
        <w:rPr>
          <w:rFonts w:hint="default" w:ascii="Times New Roman" w:hAnsi="Times New Roman" w:cs="Times New Roman"/>
        </w:rPr>
        <w:t>600dpi</w:t>
      </w:r>
      <w:r>
        <w:rPr>
          <w:rFonts w:hint="eastAsia" w:ascii="宋体"/>
        </w:rPr>
        <w:t>。内文尺寸</w:t>
      </w:r>
      <w:r>
        <w:rPr>
          <w:rFonts w:hint="eastAsia" w:ascii="宋体"/>
          <w:lang w:val="en-US" w:eastAsia="zh-CN"/>
        </w:rPr>
        <w:t>不超过</w:t>
      </w:r>
      <w:r>
        <w:rPr>
          <w:rFonts w:hint="default" w:ascii="Times New Roman" w:hAnsi="Times New Roman" w:cs="Times New Roman"/>
        </w:rPr>
        <w:t>129</w:t>
      </w:r>
      <w:r>
        <w:rPr>
          <w:rFonts w:hint="default" w:ascii="Times New Roman" w:hAnsi="Times New Roman" w:cs="Times New Roman"/>
          <w:lang w:val="en-US" w:eastAsia="zh-CN"/>
        </w:rPr>
        <w:t>m</w:t>
      </w:r>
      <w:r>
        <w:rPr>
          <w:rFonts w:hint="default" w:ascii="Times New Roman" w:hAnsi="Times New Roman" w:cs="Times New Roman"/>
        </w:rPr>
        <w:t>m</w:t>
      </w:r>
      <w:r>
        <w:rPr>
          <w:rFonts w:hint="eastAsia" w:ascii="宋体"/>
        </w:rPr>
        <w:t>，图形区域外无边框，图形区域内无阴影、无底色；图的标识应该用“空心</w:t>
      </w:r>
      <w:r>
        <w:rPr>
          <w:rFonts w:hint="eastAsia" w:ascii="宋体"/>
          <w:lang w:eastAsia="zh-CN"/>
        </w:rPr>
        <w:t>”</w:t>
      </w:r>
      <w:r>
        <w:rPr>
          <w:rFonts w:hint="eastAsia" w:ascii="宋体"/>
        </w:rPr>
        <w:t>（背景为白）。</w:t>
      </w:r>
      <w:r>
        <w:rPr>
          <w:rFonts w:hint="eastAsia" w:ascii="宋体"/>
          <w:highlight w:val="none"/>
        </w:rPr>
        <w:t>图形区字体应与全文保持统一，六号宋体。</w:t>
      </w:r>
    </w:p>
    <w:p w14:paraId="50029CC9">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ascii="宋体"/>
        </w:rPr>
      </w:pPr>
      <w:r>
        <w:rPr>
          <w:rFonts w:hint="eastAsia" w:ascii="宋体"/>
        </w:rPr>
        <w:t>图的标题位于图的下方且居中</w:t>
      </w:r>
      <w:r>
        <w:rPr>
          <w:rFonts w:hint="eastAsia" w:ascii="宋体"/>
          <w:lang w:eastAsia="zh-CN"/>
        </w:rPr>
        <w:t>；</w:t>
      </w:r>
      <w:r>
        <w:rPr>
          <w:rFonts w:hint="eastAsia" w:ascii="宋体"/>
        </w:rPr>
        <w:t>“注”“资料来源”和“数据来源”应依次置于图的标题下方，并左对齐。图的标注如“图</w:t>
      </w:r>
      <w:r>
        <w:rPr>
          <w:rFonts w:hint="default" w:ascii="Times New Roman" w:hAnsi="Times New Roman" w:cs="Times New Roman"/>
        </w:rPr>
        <w:t>1</w:t>
      </w:r>
      <w:r>
        <w:rPr>
          <w:rFonts w:hint="eastAsia" w:ascii="宋体"/>
        </w:rPr>
        <w:t xml:space="preserve">  学生在蒋家大堰的实践活动”用小五号黑体，其中“图</w:t>
      </w:r>
      <w:r>
        <w:rPr>
          <w:rFonts w:hint="default" w:ascii="Times New Roman" w:hAnsi="Times New Roman" w:cs="Times New Roman"/>
        </w:rPr>
        <w:t>1</w:t>
      </w:r>
      <w:r>
        <w:rPr>
          <w:rFonts w:hint="eastAsia" w:ascii="宋体"/>
        </w:rPr>
        <w:t>”为图序，“学生在蒋家大堰的实践活动”为图题，图序与图题之间空</w:t>
      </w:r>
      <w:r>
        <w:rPr>
          <w:rFonts w:hint="eastAsia" w:ascii="宋体"/>
          <w:lang w:val="en-US" w:eastAsia="zh-CN"/>
        </w:rPr>
        <w:t>一个字位</w:t>
      </w:r>
      <w:r>
        <w:rPr>
          <w:rFonts w:hint="eastAsia" w:ascii="宋体"/>
        </w:rPr>
        <w:t>。图形排序应按图</w:t>
      </w:r>
      <w:r>
        <w:rPr>
          <w:rFonts w:hint="default" w:ascii="Times New Roman" w:hAnsi="Times New Roman" w:cs="Times New Roman"/>
        </w:rPr>
        <w:t>1</w:t>
      </w:r>
      <w:r>
        <w:rPr>
          <w:rFonts w:hint="eastAsia" w:ascii="宋体"/>
        </w:rPr>
        <w:t>、图</w:t>
      </w:r>
      <w:r>
        <w:rPr>
          <w:rFonts w:hint="default" w:ascii="Times New Roman" w:hAnsi="Times New Roman" w:cs="Times New Roman"/>
        </w:rPr>
        <w:t>2</w:t>
      </w:r>
      <w:r>
        <w:rPr>
          <w:rFonts w:hint="eastAsia" w:ascii="宋体"/>
        </w:rPr>
        <w:t>、图</w:t>
      </w:r>
      <w:r>
        <w:rPr>
          <w:rFonts w:hint="default" w:ascii="Times New Roman" w:hAnsi="Times New Roman" w:cs="Times New Roman"/>
        </w:rPr>
        <w:t>3</w:t>
      </w:r>
      <w:r>
        <w:rPr>
          <w:rFonts w:hint="eastAsia" w:ascii="宋体"/>
        </w:rPr>
        <w:t>等全文连续编号。</w:t>
      </w:r>
    </w:p>
    <w:p w14:paraId="0F45AF47">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ascii="宋体"/>
        </w:rPr>
      </w:pPr>
      <w:r>
        <w:drawing>
          <wp:inline distT="0" distB="0" distL="114300" distR="114300">
            <wp:extent cx="3505200" cy="16002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3505200" cy="1600200"/>
                    </a:xfrm>
                    <a:prstGeom prst="rect">
                      <a:avLst/>
                    </a:prstGeom>
                    <a:noFill/>
                    <a:ln>
                      <a:noFill/>
                    </a:ln>
                  </pic:spPr>
                </pic:pic>
              </a:graphicData>
            </a:graphic>
          </wp:inline>
        </w:drawing>
      </w:r>
    </w:p>
    <w:p w14:paraId="7F61EB9D">
      <w:pPr>
        <w:pStyle w:val="26"/>
        <w:keepNext w:val="0"/>
        <w:keepLines w:val="0"/>
        <w:pageBreakBefore w:val="0"/>
        <w:widowControl w:val="0"/>
        <w:kinsoku/>
        <w:wordWrap/>
        <w:overflowPunct/>
        <w:autoSpaceDE/>
        <w:autoSpaceDN/>
        <w:bidi w:val="0"/>
        <w:adjustRightInd w:val="0"/>
        <w:snapToGrid w:val="0"/>
        <w:spacing w:after="0" w:line="288" w:lineRule="auto"/>
        <w:jc w:val="center"/>
        <w:textAlignment w:val="auto"/>
        <w:rPr>
          <w:rFonts w:ascii="宋体"/>
          <w:highlight w:val="yellow"/>
        </w:rPr>
      </w:pPr>
      <w:r>
        <w:rPr>
          <w:rFonts w:hint="eastAsia" w:ascii="黑体" w:hAnsi="黑体" w:eastAsia="黑体" w:cs="黑体"/>
        </w:rPr>
        <w:t>图</w:t>
      </w:r>
      <w:r>
        <w:rPr>
          <w:rFonts w:hint="eastAsia" w:ascii="黑体" w:hAnsi="黑体" w:eastAsia="黑体" w:cs="黑体"/>
          <w:lang w:val="en-US" w:eastAsia="zh-CN"/>
        </w:rPr>
        <w:t>1</w:t>
      </w:r>
      <w:r>
        <w:rPr>
          <w:rFonts w:hint="eastAsia" w:ascii="黑体" w:hAnsi="黑体" w:eastAsia="黑体" w:cs="黑体"/>
        </w:rPr>
        <w:t xml:space="preserve">  </w:t>
      </w:r>
      <w:r>
        <w:rPr>
          <w:rFonts w:hint="eastAsia" w:ascii="黑体" w:hAnsi="黑体" w:eastAsia="黑体" w:cs="黑体"/>
          <w:lang w:val="en-US" w:eastAsia="zh-CN"/>
        </w:rPr>
        <w:t>学生在蒋家大堰的实践活动</w:t>
      </w:r>
      <w:r>
        <w:rPr>
          <w:rFonts w:hint="eastAsia" w:ascii="黑体" w:hAnsi="黑体" w:eastAsia="黑体" w:cs="黑体"/>
          <w:highlight w:val="none"/>
          <w:lang w:eastAsia="zh-CN"/>
        </w:rPr>
        <w:t>（</w:t>
      </w:r>
      <w:r>
        <w:rPr>
          <w:rFonts w:hint="eastAsia" w:eastAsia="黑体"/>
          <w:color w:val="FF0000"/>
          <w:highlight w:val="none"/>
        </w:rPr>
        <w:t>图中</w:t>
      </w:r>
      <w:r>
        <w:rPr>
          <w:rFonts w:hint="eastAsia" w:eastAsia="黑体"/>
          <w:color w:val="FF0000"/>
          <w:highlight w:val="none"/>
          <w:lang w:val="en-US" w:eastAsia="zh-CN"/>
        </w:rPr>
        <w:t>文字</w:t>
      </w:r>
      <w:r>
        <w:rPr>
          <w:rFonts w:hint="eastAsia" w:eastAsia="黑体"/>
          <w:color w:val="FF0000"/>
          <w:highlight w:val="none"/>
        </w:rPr>
        <w:t>六号宋体</w:t>
      </w:r>
      <w:r>
        <w:rPr>
          <w:rFonts w:hint="eastAsia" w:ascii="黑体" w:hAnsi="黑体" w:eastAsia="黑体" w:cs="黑体"/>
          <w:highlight w:val="none"/>
          <w:lang w:eastAsia="zh-CN"/>
        </w:rPr>
        <w:t>）</w:t>
      </w:r>
    </w:p>
    <w:p w14:paraId="6A98E868">
      <w:pPr>
        <w:keepNext w:val="0"/>
        <w:keepLines w:val="0"/>
        <w:pageBreakBefore w:val="0"/>
        <w:widowControl w:val="0"/>
        <w:kinsoku/>
        <w:wordWrap/>
        <w:overflowPunct/>
        <w:autoSpaceDE/>
        <w:autoSpaceDN/>
        <w:bidi w:val="0"/>
        <w:adjustRightInd w:val="0"/>
        <w:snapToGrid w:val="0"/>
        <w:spacing w:line="288" w:lineRule="auto"/>
        <w:textAlignment w:val="auto"/>
        <w:rPr>
          <w:rFonts w:ascii="黑体" w:eastAsia="黑体"/>
          <w:sz w:val="18"/>
          <w:szCs w:val="18"/>
        </w:rPr>
      </w:pPr>
      <w:r>
        <w:rPr>
          <w:rFonts w:hint="eastAsia" w:ascii="宋体"/>
        </w:rPr>
        <w:t xml:space="preserve">  </w:t>
      </w:r>
      <w:r>
        <w:rPr>
          <w:rFonts w:hint="eastAsia" w:ascii="黑体" w:eastAsia="黑体"/>
          <w:color w:val="FF0000"/>
          <w:sz w:val="18"/>
          <w:szCs w:val="18"/>
        </w:rPr>
        <w:t xml:space="preserve"> </w:t>
      </w:r>
      <w:r>
        <w:rPr>
          <w:rFonts w:hint="eastAsia" w:ascii="黑体" w:eastAsia="黑体"/>
          <w:sz w:val="18"/>
          <w:szCs w:val="18"/>
        </w:rPr>
        <w:t xml:space="preserve">                                </w:t>
      </w:r>
    </w:p>
    <w:p w14:paraId="0718E016">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hint="eastAsia" w:ascii="黑体" w:hAnsi="黑体" w:eastAsia="黑体" w:cs="黑体"/>
          <w:bCs/>
        </w:rPr>
      </w:pPr>
      <w:r>
        <w:rPr>
          <w:rFonts w:hint="eastAsia" w:ascii="黑体" w:hAnsi="黑体" w:eastAsia="黑体" w:cs="黑体"/>
        </w:rPr>
        <w:t>（二）表格</w:t>
      </w:r>
      <w:r>
        <w:rPr>
          <w:rFonts w:hint="eastAsia" w:ascii="黑体" w:hAnsi="黑体" w:eastAsia="黑体" w:cs="黑体"/>
          <w:color w:val="FF0000"/>
          <w:szCs w:val="21"/>
        </w:rPr>
        <w:t>（二级标题，五号，黑体）</w:t>
      </w:r>
    </w:p>
    <w:p w14:paraId="293A1243">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hint="eastAsia" w:ascii="宋体" w:eastAsia="宋体"/>
          <w:highlight w:val="none"/>
          <w:lang w:eastAsia="zh-CN"/>
        </w:rPr>
      </w:pPr>
      <w:r>
        <w:rPr>
          <w:rFonts w:hint="eastAsia" w:ascii="宋体"/>
          <w:lang w:val="en-US" w:eastAsia="zh-CN"/>
        </w:rPr>
        <w:t>表格为</w:t>
      </w:r>
      <w:r>
        <w:rPr>
          <w:rFonts w:hint="eastAsia" w:ascii="宋体"/>
        </w:rPr>
        <w:t>三线表，小</w:t>
      </w:r>
      <w:r>
        <w:rPr>
          <w:rFonts w:hint="default" w:ascii="Times New Roman" w:hAnsi="Times New Roman" w:cs="Times New Roman"/>
        </w:rPr>
        <w:t>16</w:t>
      </w:r>
      <w:r>
        <w:rPr>
          <w:rFonts w:hint="eastAsia" w:ascii="宋体"/>
        </w:rPr>
        <w:t>开</w:t>
      </w:r>
      <w:r>
        <w:rPr>
          <w:rFonts w:hint="eastAsia" w:ascii="宋体"/>
          <w:lang w:eastAsia="zh-CN"/>
        </w:rPr>
        <w:t>，</w:t>
      </w:r>
      <w:r>
        <w:rPr>
          <w:rFonts w:hint="eastAsia" w:ascii="宋体"/>
        </w:rPr>
        <w:t>内文尺寸</w:t>
      </w:r>
      <w:r>
        <w:rPr>
          <w:rFonts w:hint="eastAsia" w:ascii="宋体"/>
          <w:lang w:val="en-US" w:eastAsia="zh-CN"/>
        </w:rPr>
        <w:t>不超过</w:t>
      </w:r>
      <w:r>
        <w:rPr>
          <w:rFonts w:hint="default" w:ascii="Times New Roman" w:hAnsi="Times New Roman" w:cs="Times New Roman"/>
        </w:rPr>
        <w:t>129mm</w:t>
      </w:r>
      <w:r>
        <w:rPr>
          <w:rFonts w:hint="eastAsia" w:ascii="宋体"/>
          <w:lang w:eastAsia="zh-CN"/>
        </w:rPr>
        <w:t>。</w:t>
      </w:r>
      <w:r>
        <w:rPr>
          <w:rFonts w:hint="eastAsia" w:ascii="宋体"/>
        </w:rPr>
        <w:t>表格中的文字一律用</w:t>
      </w:r>
      <w:r>
        <w:rPr>
          <w:rFonts w:hint="eastAsia" w:ascii="宋体"/>
          <w:highlight w:val="none"/>
        </w:rPr>
        <w:t>小五号宋体</w:t>
      </w:r>
      <w:r>
        <w:rPr>
          <w:rFonts w:hint="eastAsia" w:ascii="宋体"/>
          <w:highlight w:val="none"/>
          <w:lang w:eastAsia="zh-CN"/>
        </w:rPr>
        <w:t>。</w:t>
      </w:r>
      <w:r>
        <w:rPr>
          <w:rFonts w:hint="eastAsia" w:ascii="宋体"/>
          <w:highlight w:val="none"/>
        </w:rPr>
        <w:t>表格位于相应正文段落之后。表的标题置于表格上方</w:t>
      </w:r>
      <w:r>
        <w:rPr>
          <w:rFonts w:hint="eastAsia" w:ascii="宋体"/>
          <w:highlight w:val="none"/>
          <w:lang w:eastAsia="zh-CN"/>
        </w:rPr>
        <w:t>。</w:t>
      </w:r>
    </w:p>
    <w:p w14:paraId="0A233734">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hint="eastAsia" w:ascii="宋体" w:eastAsia="宋体"/>
          <w:lang w:eastAsia="zh-CN"/>
        </w:rPr>
      </w:pPr>
      <w:r>
        <w:rPr>
          <w:rFonts w:hint="eastAsia" w:ascii="宋体"/>
          <w:highlight w:val="none"/>
        </w:rPr>
        <w:t>表的标注如“</w:t>
      </w:r>
      <w:r>
        <w:rPr>
          <w:rFonts w:hint="eastAsia" w:ascii="宋体"/>
          <w:bCs/>
          <w:highlight w:val="none"/>
        </w:rPr>
        <w:t>表</w:t>
      </w:r>
      <w:r>
        <w:rPr>
          <w:rFonts w:hint="default" w:ascii="Times New Roman" w:hAnsi="Times New Roman" w:cs="Times New Roman"/>
          <w:bCs/>
          <w:highlight w:val="none"/>
        </w:rPr>
        <w:t>1</w:t>
      </w:r>
      <w:r>
        <w:rPr>
          <w:rFonts w:hint="eastAsia" w:ascii="宋体"/>
          <w:bCs/>
          <w:highlight w:val="none"/>
        </w:rPr>
        <w:t xml:space="preserve">  《视听语言》课程体系“四维一体”新要求</w:t>
      </w:r>
      <w:r>
        <w:rPr>
          <w:rFonts w:hint="eastAsia" w:ascii="宋体"/>
          <w:highlight w:val="none"/>
        </w:rPr>
        <w:t>”用小五号黑体，居中，其中“</w:t>
      </w:r>
      <w:r>
        <w:rPr>
          <w:rFonts w:hint="eastAsia" w:ascii="宋体"/>
          <w:bCs/>
          <w:highlight w:val="none"/>
        </w:rPr>
        <w:t>表</w:t>
      </w:r>
      <w:r>
        <w:rPr>
          <w:rFonts w:hint="default" w:ascii="Times New Roman" w:hAnsi="Times New Roman" w:cs="Times New Roman"/>
          <w:bCs/>
          <w:highlight w:val="none"/>
        </w:rPr>
        <w:t>1</w:t>
      </w:r>
      <w:r>
        <w:rPr>
          <w:rFonts w:hint="eastAsia" w:ascii="宋体"/>
          <w:highlight w:val="none"/>
        </w:rPr>
        <w:t>”为表序，“</w:t>
      </w:r>
      <w:r>
        <w:rPr>
          <w:rFonts w:hint="eastAsia" w:ascii="宋体"/>
          <w:bCs/>
          <w:highlight w:val="none"/>
        </w:rPr>
        <w:t>《视听语言》课程体系“四维一体”新要求</w:t>
      </w:r>
      <w:r>
        <w:rPr>
          <w:rFonts w:hint="eastAsia" w:ascii="宋体"/>
          <w:highlight w:val="none"/>
        </w:rPr>
        <w:t>”为表题，表序与表题之间</w:t>
      </w:r>
      <w:r>
        <w:rPr>
          <w:rFonts w:hint="eastAsia" w:ascii="宋体"/>
          <w:highlight w:val="none"/>
          <w:lang w:eastAsia="zh-CN"/>
        </w:rPr>
        <w:t>，</w:t>
      </w:r>
      <w:r>
        <w:rPr>
          <w:rFonts w:hint="eastAsia" w:ascii="宋体"/>
          <w:highlight w:val="none"/>
          <w:lang w:val="en-US" w:eastAsia="zh-CN"/>
        </w:rPr>
        <w:t>不加标点，只</w:t>
      </w:r>
      <w:r>
        <w:rPr>
          <w:rFonts w:hint="eastAsia" w:ascii="宋体"/>
          <w:highlight w:val="none"/>
        </w:rPr>
        <w:t>空1个字位。</w:t>
      </w:r>
      <w:r>
        <w:rPr>
          <w:rFonts w:hint="eastAsia" w:ascii="宋体"/>
        </w:rPr>
        <w:t>按表</w:t>
      </w:r>
      <w:r>
        <w:rPr>
          <w:rFonts w:hint="default" w:ascii="Times New Roman" w:hAnsi="Times New Roman" w:cs="Times New Roman"/>
        </w:rPr>
        <w:t>1</w:t>
      </w:r>
      <w:r>
        <w:rPr>
          <w:rFonts w:hint="eastAsia" w:ascii="宋体"/>
        </w:rPr>
        <w:t>、表</w:t>
      </w:r>
      <w:r>
        <w:rPr>
          <w:rFonts w:hint="default" w:ascii="Times New Roman" w:hAnsi="Times New Roman" w:cs="Times New Roman"/>
        </w:rPr>
        <w:t>2</w:t>
      </w:r>
      <w:r>
        <w:rPr>
          <w:rFonts w:hint="eastAsia" w:ascii="宋体"/>
        </w:rPr>
        <w:t>、表</w:t>
      </w:r>
      <w:r>
        <w:rPr>
          <w:rFonts w:hint="default" w:ascii="Times New Roman" w:hAnsi="Times New Roman" w:cs="Times New Roman"/>
        </w:rPr>
        <w:t>3</w:t>
      </w:r>
      <w:r>
        <w:rPr>
          <w:rFonts w:hint="eastAsia" w:ascii="宋体"/>
        </w:rPr>
        <w:t>等全文连续排序表的序号</w:t>
      </w:r>
      <w:r>
        <w:rPr>
          <w:rFonts w:hint="eastAsia" w:ascii="宋体"/>
          <w:lang w:eastAsia="zh-CN"/>
        </w:rPr>
        <w:t>。</w:t>
      </w:r>
    </w:p>
    <w:p w14:paraId="7ADDD8AE">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ascii="宋体"/>
        </w:rPr>
      </w:pPr>
      <w:r>
        <w:rPr>
          <w:rFonts w:hint="eastAsia" w:ascii="宋体"/>
        </w:rPr>
        <w:t>表头中不应使用斜线，表头中栏目归类正确，栏目名称应确切、简洁，表头中量和单位的标注形式为“量的名称/单位符号”。表身中单元格内数值不带单位，单元格内数值为零时应填写“</w:t>
      </w:r>
      <w:r>
        <w:rPr>
          <w:rFonts w:hint="default" w:ascii="Times New Roman" w:hAnsi="Times New Roman" w:cs="Times New Roman"/>
        </w:rPr>
        <w:t>0</w:t>
      </w:r>
      <w:r>
        <w:rPr>
          <w:rFonts w:hint="eastAsia" w:ascii="宋体"/>
        </w:rPr>
        <w:t>”。表内有变量需斜体，年份加单位“年”</w:t>
      </w:r>
      <w:r>
        <w:rPr>
          <w:rFonts w:hint="eastAsia" w:ascii="宋体"/>
          <w:lang w:eastAsia="zh-CN"/>
        </w:rPr>
        <w:t>；</w:t>
      </w:r>
      <w:r>
        <w:rPr>
          <w:rFonts w:hint="eastAsia" w:ascii="宋体"/>
        </w:rPr>
        <w:t>保留小数</w:t>
      </w:r>
      <w:r>
        <w:rPr>
          <w:rFonts w:hint="eastAsia" w:ascii="宋体"/>
          <w:lang w:eastAsia="zh-CN"/>
        </w:rPr>
        <w:t>，</w:t>
      </w:r>
      <w:r>
        <w:rPr>
          <w:rFonts w:hint="eastAsia" w:ascii="宋体"/>
        </w:rPr>
        <w:t>位数统一</w:t>
      </w:r>
      <w:r>
        <w:rPr>
          <w:rFonts w:hint="eastAsia" w:ascii="宋体"/>
          <w:lang w:eastAsia="zh-CN"/>
        </w:rPr>
        <w:t>；</w:t>
      </w:r>
      <w:r>
        <w:rPr>
          <w:rFonts w:hint="eastAsia" w:ascii="宋体"/>
        </w:rPr>
        <w:t>某项标目指标值尚无数据时，用“-”表示。</w:t>
      </w:r>
    </w:p>
    <w:p w14:paraId="2B321100">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ascii="宋体"/>
        </w:rPr>
      </w:pPr>
      <w:r>
        <w:rPr>
          <w:rFonts w:hint="eastAsia" w:ascii="宋体"/>
        </w:rPr>
        <w:t>表的“注”“资料来源”和“数据来源”应依次置于表的下方，并</w:t>
      </w:r>
      <w:r>
        <w:rPr>
          <w:rFonts w:hint="eastAsia" w:ascii="宋体"/>
          <w:lang w:val="en-US" w:eastAsia="zh-CN"/>
        </w:rPr>
        <w:t>与表</w:t>
      </w:r>
      <w:r>
        <w:rPr>
          <w:rFonts w:hint="eastAsia" w:ascii="宋体"/>
        </w:rPr>
        <w:t>左对齐。</w:t>
      </w:r>
    </w:p>
    <w:p w14:paraId="1F169793">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ascii="黑体" w:eastAsia="黑体"/>
          <w:sz w:val="18"/>
          <w:szCs w:val="18"/>
        </w:rPr>
      </w:pPr>
      <w:r>
        <w:rPr>
          <w:rFonts w:hint="eastAsia" w:ascii="宋体"/>
        </w:rPr>
        <w:t>表的数据来源通常应该准确注明，数据来自于参考文献的，应以</w:t>
      </w:r>
      <w:r>
        <w:rPr>
          <w:rFonts w:hint="eastAsia" w:ascii="宋体"/>
          <w:lang w:val="en-US" w:eastAsia="zh-CN"/>
        </w:rPr>
        <w:t>参考文献的方式标注</w:t>
      </w:r>
      <w:r>
        <w:rPr>
          <w:rFonts w:hint="eastAsia" w:ascii="宋体"/>
        </w:rPr>
        <w:t xml:space="preserve">。 </w:t>
      </w:r>
    </w:p>
    <w:p w14:paraId="40C19906">
      <w:pPr>
        <w:keepNext w:val="0"/>
        <w:keepLines w:val="0"/>
        <w:pageBreakBefore w:val="0"/>
        <w:widowControl w:val="0"/>
        <w:kinsoku/>
        <w:wordWrap/>
        <w:overflowPunct/>
        <w:autoSpaceDE/>
        <w:autoSpaceDN/>
        <w:bidi w:val="0"/>
        <w:adjustRightInd w:val="0"/>
        <w:snapToGrid w:val="0"/>
        <w:spacing w:line="288" w:lineRule="auto"/>
        <w:jc w:val="center"/>
        <w:textAlignment w:val="auto"/>
        <w:rPr>
          <w:rFonts w:hint="eastAsia" w:ascii="黑体" w:eastAsia="黑体"/>
          <w:color w:val="FF0000"/>
          <w:sz w:val="18"/>
          <w:szCs w:val="18"/>
          <w:highlight w:val="none"/>
        </w:rPr>
      </w:pPr>
      <w:r>
        <w:rPr>
          <w:rFonts w:hint="eastAsia" w:ascii="黑体" w:eastAsia="黑体"/>
          <w:sz w:val="18"/>
          <w:szCs w:val="18"/>
        </w:rPr>
        <w:t xml:space="preserve">表1  </w:t>
      </w:r>
      <w:r>
        <w:rPr>
          <w:rFonts w:hint="eastAsia" w:ascii="黑体" w:eastAsia="黑体"/>
          <w:sz w:val="18"/>
          <w:szCs w:val="18"/>
          <w:highlight w:val="none"/>
        </w:rPr>
        <w:t>《视听语言》课程体系“四维一体”新要求</w:t>
      </w:r>
      <w:r>
        <w:rPr>
          <w:rFonts w:hint="eastAsia" w:ascii="黑体" w:eastAsia="黑体"/>
          <w:color w:val="FF0000"/>
          <w:sz w:val="18"/>
          <w:szCs w:val="18"/>
          <w:highlight w:val="none"/>
        </w:rPr>
        <w:t>（小五号黑体,三线表）</w:t>
      </w:r>
    </w:p>
    <w:tbl>
      <w:tblPr>
        <w:tblStyle w:val="18"/>
        <w:tblW w:w="0" w:type="auto"/>
        <w:jc w:val="center"/>
        <w:tblBorders>
          <w:top w:val="dotted" w:color="auto" w:sz="4" w:space="0"/>
          <w:left w:val="none" w:color="auto" w:sz="0" w:space="0"/>
          <w:bottom w:val="dotted"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9"/>
        <w:gridCol w:w="668"/>
        <w:gridCol w:w="633"/>
        <w:gridCol w:w="1692"/>
        <w:gridCol w:w="637"/>
      </w:tblGrid>
      <w:tr w14:paraId="2B73345A">
        <w:tblPrEx>
          <w:tblBorders>
            <w:top w:val="dotted"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9" w:type="dxa"/>
            <w:tcBorders>
              <w:bottom w:val="dotted" w:color="auto" w:sz="4" w:space="0"/>
            </w:tcBorders>
            <w:vAlign w:val="center"/>
          </w:tcPr>
          <w:p w14:paraId="43E5AAFA">
            <w:pPr>
              <w:jc w:val="center"/>
              <w:rPr>
                <w:rFonts w:hint="eastAsia" w:eastAsiaTheme="minorEastAsia"/>
                <w:sz w:val="18"/>
                <w:szCs w:val="18"/>
                <w:vertAlign w:val="baseline"/>
                <w:lang w:val="en-US" w:eastAsia="zh-CN"/>
              </w:rPr>
            </w:pPr>
            <w:r>
              <w:rPr>
                <w:rFonts w:hint="eastAsia"/>
                <w:sz w:val="18"/>
                <w:szCs w:val="18"/>
                <w:vertAlign w:val="baseline"/>
                <w:lang w:val="en-US" w:eastAsia="zh-CN"/>
              </w:rPr>
              <w:t>要求维度</w:t>
            </w:r>
          </w:p>
        </w:tc>
        <w:tc>
          <w:tcPr>
            <w:tcW w:w="668" w:type="dxa"/>
            <w:tcBorders>
              <w:bottom w:val="dotted" w:color="auto" w:sz="4" w:space="0"/>
            </w:tcBorders>
            <w:vAlign w:val="center"/>
          </w:tcPr>
          <w:p w14:paraId="2A68E8F2">
            <w:pPr>
              <w:jc w:val="center"/>
              <w:rPr>
                <w:rFonts w:hint="eastAsia" w:eastAsiaTheme="minorEastAsia"/>
                <w:sz w:val="18"/>
                <w:szCs w:val="18"/>
                <w:vertAlign w:val="baseline"/>
                <w:lang w:val="en-US" w:eastAsia="zh-CN"/>
              </w:rPr>
            </w:pPr>
            <w:r>
              <w:rPr>
                <w:rFonts w:hint="eastAsia"/>
                <w:sz w:val="18"/>
                <w:szCs w:val="18"/>
                <w:vertAlign w:val="baseline"/>
                <w:lang w:val="en-US" w:eastAsia="zh-CN"/>
              </w:rPr>
              <w:t>核心内涵</w:t>
            </w:r>
          </w:p>
        </w:tc>
        <w:tc>
          <w:tcPr>
            <w:tcW w:w="633" w:type="dxa"/>
            <w:tcBorders>
              <w:bottom w:val="dotted" w:color="auto" w:sz="4" w:space="0"/>
            </w:tcBorders>
            <w:vAlign w:val="center"/>
          </w:tcPr>
          <w:p w14:paraId="597C9462">
            <w:pPr>
              <w:jc w:val="center"/>
              <w:rPr>
                <w:rFonts w:hint="default" w:eastAsiaTheme="minorEastAsia"/>
                <w:sz w:val="18"/>
                <w:szCs w:val="18"/>
                <w:vertAlign w:val="baseline"/>
                <w:lang w:val="en-US" w:eastAsia="zh-CN"/>
              </w:rPr>
            </w:pPr>
            <w:r>
              <w:rPr>
                <w:rFonts w:hint="eastAsia"/>
                <w:sz w:val="18"/>
                <w:szCs w:val="18"/>
                <w:vertAlign w:val="baseline"/>
                <w:lang w:val="en-US" w:eastAsia="zh-CN"/>
              </w:rPr>
              <w:t>具体表现</w:t>
            </w:r>
          </w:p>
        </w:tc>
        <w:tc>
          <w:tcPr>
            <w:tcW w:w="1692" w:type="dxa"/>
            <w:tcBorders>
              <w:bottom w:val="dotted" w:color="auto" w:sz="4" w:space="0"/>
            </w:tcBorders>
            <w:vAlign w:val="center"/>
          </w:tcPr>
          <w:p w14:paraId="23C0D960">
            <w:pPr>
              <w:jc w:val="center"/>
              <w:rPr>
                <w:rFonts w:hint="default" w:eastAsia="宋体"/>
                <w:sz w:val="18"/>
                <w:szCs w:val="18"/>
                <w:vertAlign w:val="baseline"/>
                <w:lang w:val="en-US" w:eastAsia="zh-CN"/>
              </w:rPr>
            </w:pPr>
            <w:r>
              <w:rPr>
                <w:rFonts w:hint="eastAsia"/>
                <w:color w:val="FF0000"/>
                <w:sz w:val="18"/>
                <w:szCs w:val="18"/>
                <w:vertAlign w:val="baseline"/>
                <w:lang w:val="en-US" w:eastAsia="zh-CN"/>
              </w:rPr>
              <w:t>表中文字小五宋体</w:t>
            </w:r>
          </w:p>
        </w:tc>
        <w:tc>
          <w:tcPr>
            <w:tcW w:w="637" w:type="dxa"/>
            <w:tcBorders>
              <w:bottom w:val="dotted" w:color="auto" w:sz="4" w:space="0"/>
            </w:tcBorders>
            <w:vAlign w:val="center"/>
          </w:tcPr>
          <w:p w14:paraId="309D30D1">
            <w:pPr>
              <w:jc w:val="center"/>
              <w:rPr>
                <w:rFonts w:hint="default" w:eastAsia="宋体"/>
                <w:sz w:val="18"/>
                <w:szCs w:val="18"/>
                <w:vertAlign w:val="baseline"/>
                <w:lang w:val="en-US" w:eastAsia="zh-CN"/>
              </w:rPr>
            </w:pPr>
            <w:r>
              <w:rPr>
                <w:rFonts w:hint="eastAsia"/>
                <w:sz w:val="18"/>
                <w:szCs w:val="18"/>
                <w:vertAlign w:val="baseline"/>
                <w:lang w:val="en-US" w:eastAsia="zh-CN"/>
              </w:rPr>
              <w:t>政策/行业依据</w:t>
            </w:r>
          </w:p>
        </w:tc>
      </w:tr>
      <w:tr w14:paraId="2CAD8A58">
        <w:tblPrEx>
          <w:tblBorders>
            <w:top w:val="dotted"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9" w:type="dxa"/>
            <w:tcBorders>
              <w:top w:val="dotted" w:color="auto" w:sz="4" w:space="0"/>
              <w:tl2br w:val="nil"/>
              <w:tr2bl w:val="nil"/>
            </w:tcBorders>
          </w:tcPr>
          <w:p w14:paraId="4A26B43C">
            <w:pPr>
              <w:jc w:val="center"/>
              <w:rPr>
                <w:sz w:val="18"/>
                <w:szCs w:val="18"/>
                <w:vertAlign w:val="baseline"/>
              </w:rPr>
            </w:pPr>
          </w:p>
        </w:tc>
        <w:tc>
          <w:tcPr>
            <w:tcW w:w="668" w:type="dxa"/>
            <w:tcBorders>
              <w:top w:val="dotted" w:color="auto" w:sz="4" w:space="0"/>
              <w:tl2br w:val="nil"/>
              <w:tr2bl w:val="nil"/>
            </w:tcBorders>
          </w:tcPr>
          <w:p w14:paraId="24893AAA">
            <w:pPr>
              <w:jc w:val="center"/>
              <w:rPr>
                <w:sz w:val="18"/>
                <w:szCs w:val="18"/>
                <w:vertAlign w:val="baseline"/>
              </w:rPr>
            </w:pPr>
          </w:p>
        </w:tc>
        <w:tc>
          <w:tcPr>
            <w:tcW w:w="633" w:type="dxa"/>
            <w:tcBorders>
              <w:top w:val="dotted" w:color="auto" w:sz="4" w:space="0"/>
              <w:tl2br w:val="nil"/>
              <w:tr2bl w:val="nil"/>
            </w:tcBorders>
          </w:tcPr>
          <w:p w14:paraId="3011657E">
            <w:pPr>
              <w:jc w:val="center"/>
              <w:rPr>
                <w:sz w:val="18"/>
                <w:szCs w:val="18"/>
                <w:vertAlign w:val="baseline"/>
              </w:rPr>
            </w:pPr>
          </w:p>
        </w:tc>
        <w:tc>
          <w:tcPr>
            <w:tcW w:w="1692" w:type="dxa"/>
            <w:tcBorders>
              <w:top w:val="dotted" w:color="auto" w:sz="4" w:space="0"/>
              <w:tl2br w:val="nil"/>
              <w:tr2bl w:val="nil"/>
            </w:tcBorders>
          </w:tcPr>
          <w:p w14:paraId="16AD524D">
            <w:pPr>
              <w:jc w:val="center"/>
              <w:rPr>
                <w:sz w:val="18"/>
                <w:szCs w:val="18"/>
                <w:vertAlign w:val="baseline"/>
              </w:rPr>
            </w:pPr>
          </w:p>
        </w:tc>
        <w:tc>
          <w:tcPr>
            <w:tcW w:w="637" w:type="dxa"/>
            <w:tcBorders>
              <w:top w:val="dotted" w:color="auto" w:sz="4" w:space="0"/>
              <w:tl2br w:val="nil"/>
              <w:tr2bl w:val="nil"/>
            </w:tcBorders>
          </w:tcPr>
          <w:p w14:paraId="2BC7DBB3">
            <w:pPr>
              <w:jc w:val="center"/>
              <w:rPr>
                <w:rFonts w:hint="default" w:eastAsia="宋体"/>
                <w:sz w:val="18"/>
                <w:szCs w:val="18"/>
                <w:vertAlign w:val="baseline"/>
                <w:lang w:val="en-US" w:eastAsia="zh-CN"/>
              </w:rPr>
            </w:pPr>
          </w:p>
        </w:tc>
      </w:tr>
      <w:tr w14:paraId="062ECA14">
        <w:tblPrEx>
          <w:tblBorders>
            <w:top w:val="dotted"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9" w:type="dxa"/>
            <w:tcBorders>
              <w:tl2br w:val="nil"/>
              <w:tr2bl w:val="nil"/>
            </w:tcBorders>
          </w:tcPr>
          <w:p w14:paraId="1CDEC462">
            <w:pPr>
              <w:jc w:val="center"/>
              <w:rPr>
                <w:sz w:val="18"/>
                <w:szCs w:val="18"/>
                <w:vertAlign w:val="baseline"/>
              </w:rPr>
            </w:pPr>
          </w:p>
        </w:tc>
        <w:tc>
          <w:tcPr>
            <w:tcW w:w="668" w:type="dxa"/>
            <w:tcBorders>
              <w:tl2br w:val="nil"/>
              <w:tr2bl w:val="nil"/>
            </w:tcBorders>
          </w:tcPr>
          <w:p w14:paraId="31482709">
            <w:pPr>
              <w:jc w:val="center"/>
              <w:rPr>
                <w:sz w:val="18"/>
                <w:szCs w:val="18"/>
                <w:vertAlign w:val="baseline"/>
              </w:rPr>
            </w:pPr>
          </w:p>
        </w:tc>
        <w:tc>
          <w:tcPr>
            <w:tcW w:w="633" w:type="dxa"/>
            <w:tcBorders>
              <w:tl2br w:val="nil"/>
              <w:tr2bl w:val="nil"/>
            </w:tcBorders>
          </w:tcPr>
          <w:p w14:paraId="0ED596E4">
            <w:pPr>
              <w:jc w:val="center"/>
              <w:rPr>
                <w:sz w:val="18"/>
                <w:szCs w:val="18"/>
                <w:vertAlign w:val="baseline"/>
              </w:rPr>
            </w:pPr>
          </w:p>
        </w:tc>
        <w:tc>
          <w:tcPr>
            <w:tcW w:w="1692" w:type="dxa"/>
            <w:tcBorders>
              <w:tl2br w:val="nil"/>
              <w:tr2bl w:val="nil"/>
            </w:tcBorders>
          </w:tcPr>
          <w:p w14:paraId="148BF8D9">
            <w:pPr>
              <w:jc w:val="center"/>
              <w:rPr>
                <w:sz w:val="18"/>
                <w:szCs w:val="18"/>
                <w:vertAlign w:val="baseline"/>
              </w:rPr>
            </w:pPr>
          </w:p>
        </w:tc>
        <w:tc>
          <w:tcPr>
            <w:tcW w:w="637" w:type="dxa"/>
            <w:tcBorders>
              <w:tl2br w:val="nil"/>
              <w:tr2bl w:val="nil"/>
            </w:tcBorders>
          </w:tcPr>
          <w:p w14:paraId="39992D93">
            <w:pPr>
              <w:jc w:val="center"/>
              <w:rPr>
                <w:rFonts w:hint="default" w:eastAsia="宋体"/>
                <w:sz w:val="18"/>
                <w:szCs w:val="18"/>
                <w:vertAlign w:val="baseline"/>
                <w:lang w:val="en-US" w:eastAsia="zh-CN"/>
              </w:rPr>
            </w:pPr>
          </w:p>
        </w:tc>
      </w:tr>
      <w:tr w14:paraId="1A1D17E8">
        <w:tblPrEx>
          <w:tblBorders>
            <w:top w:val="dotted"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9" w:type="dxa"/>
            <w:tcBorders>
              <w:tl2br w:val="nil"/>
              <w:tr2bl w:val="nil"/>
            </w:tcBorders>
          </w:tcPr>
          <w:p w14:paraId="19B7447E">
            <w:pPr>
              <w:jc w:val="center"/>
              <w:rPr>
                <w:sz w:val="18"/>
                <w:szCs w:val="18"/>
                <w:vertAlign w:val="baseline"/>
              </w:rPr>
            </w:pPr>
          </w:p>
        </w:tc>
        <w:tc>
          <w:tcPr>
            <w:tcW w:w="668" w:type="dxa"/>
            <w:tcBorders>
              <w:tl2br w:val="nil"/>
              <w:tr2bl w:val="nil"/>
            </w:tcBorders>
          </w:tcPr>
          <w:p w14:paraId="3203AF06">
            <w:pPr>
              <w:jc w:val="center"/>
              <w:rPr>
                <w:sz w:val="18"/>
                <w:szCs w:val="18"/>
                <w:vertAlign w:val="baseline"/>
              </w:rPr>
            </w:pPr>
          </w:p>
        </w:tc>
        <w:tc>
          <w:tcPr>
            <w:tcW w:w="633" w:type="dxa"/>
            <w:tcBorders>
              <w:tl2br w:val="nil"/>
              <w:tr2bl w:val="nil"/>
            </w:tcBorders>
          </w:tcPr>
          <w:p w14:paraId="68F981F4">
            <w:pPr>
              <w:jc w:val="center"/>
              <w:rPr>
                <w:sz w:val="18"/>
                <w:szCs w:val="18"/>
                <w:vertAlign w:val="baseline"/>
              </w:rPr>
            </w:pPr>
          </w:p>
        </w:tc>
        <w:tc>
          <w:tcPr>
            <w:tcW w:w="1692" w:type="dxa"/>
            <w:tcBorders>
              <w:tl2br w:val="nil"/>
              <w:tr2bl w:val="nil"/>
            </w:tcBorders>
          </w:tcPr>
          <w:p w14:paraId="117F3DF9">
            <w:pPr>
              <w:jc w:val="center"/>
              <w:rPr>
                <w:sz w:val="18"/>
                <w:szCs w:val="18"/>
                <w:vertAlign w:val="baseline"/>
              </w:rPr>
            </w:pPr>
          </w:p>
        </w:tc>
        <w:tc>
          <w:tcPr>
            <w:tcW w:w="637" w:type="dxa"/>
            <w:tcBorders>
              <w:tl2br w:val="nil"/>
              <w:tr2bl w:val="nil"/>
            </w:tcBorders>
          </w:tcPr>
          <w:p w14:paraId="4C56783D">
            <w:pPr>
              <w:jc w:val="center"/>
              <w:rPr>
                <w:sz w:val="18"/>
                <w:szCs w:val="18"/>
                <w:vertAlign w:val="baseline"/>
              </w:rPr>
            </w:pPr>
          </w:p>
        </w:tc>
      </w:tr>
      <w:tr w14:paraId="7A16D860">
        <w:tblPrEx>
          <w:tblBorders>
            <w:top w:val="dotted"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9" w:type="dxa"/>
            <w:tcBorders>
              <w:tl2br w:val="nil"/>
              <w:tr2bl w:val="nil"/>
            </w:tcBorders>
          </w:tcPr>
          <w:p w14:paraId="765388CE">
            <w:pPr>
              <w:jc w:val="center"/>
              <w:rPr>
                <w:sz w:val="18"/>
                <w:szCs w:val="18"/>
                <w:vertAlign w:val="baseline"/>
              </w:rPr>
            </w:pPr>
          </w:p>
        </w:tc>
        <w:tc>
          <w:tcPr>
            <w:tcW w:w="668" w:type="dxa"/>
            <w:tcBorders>
              <w:tl2br w:val="nil"/>
              <w:tr2bl w:val="nil"/>
            </w:tcBorders>
          </w:tcPr>
          <w:p w14:paraId="32FF2020">
            <w:pPr>
              <w:jc w:val="center"/>
              <w:rPr>
                <w:sz w:val="18"/>
                <w:szCs w:val="18"/>
                <w:vertAlign w:val="baseline"/>
              </w:rPr>
            </w:pPr>
          </w:p>
        </w:tc>
        <w:tc>
          <w:tcPr>
            <w:tcW w:w="633" w:type="dxa"/>
            <w:tcBorders>
              <w:tl2br w:val="nil"/>
              <w:tr2bl w:val="nil"/>
            </w:tcBorders>
          </w:tcPr>
          <w:p w14:paraId="6781E6DA">
            <w:pPr>
              <w:jc w:val="center"/>
              <w:rPr>
                <w:sz w:val="18"/>
                <w:szCs w:val="18"/>
                <w:vertAlign w:val="baseline"/>
              </w:rPr>
            </w:pPr>
          </w:p>
        </w:tc>
        <w:tc>
          <w:tcPr>
            <w:tcW w:w="1692" w:type="dxa"/>
            <w:tcBorders>
              <w:tl2br w:val="nil"/>
              <w:tr2bl w:val="nil"/>
            </w:tcBorders>
          </w:tcPr>
          <w:p w14:paraId="51861EDF">
            <w:pPr>
              <w:jc w:val="center"/>
              <w:rPr>
                <w:sz w:val="18"/>
                <w:szCs w:val="18"/>
                <w:vertAlign w:val="baseline"/>
              </w:rPr>
            </w:pPr>
          </w:p>
        </w:tc>
        <w:tc>
          <w:tcPr>
            <w:tcW w:w="637" w:type="dxa"/>
            <w:tcBorders>
              <w:tl2br w:val="nil"/>
              <w:tr2bl w:val="nil"/>
            </w:tcBorders>
          </w:tcPr>
          <w:p w14:paraId="77CE232E">
            <w:pPr>
              <w:jc w:val="center"/>
              <w:rPr>
                <w:sz w:val="18"/>
                <w:szCs w:val="18"/>
                <w:vertAlign w:val="baseline"/>
              </w:rPr>
            </w:pPr>
          </w:p>
        </w:tc>
      </w:tr>
    </w:tbl>
    <w:p w14:paraId="1756C1A3">
      <w:pPr>
        <w:keepNext w:val="0"/>
        <w:keepLines w:val="0"/>
        <w:pageBreakBefore w:val="0"/>
        <w:widowControl w:val="0"/>
        <w:kinsoku/>
        <w:wordWrap/>
        <w:overflowPunct/>
        <w:autoSpaceDE/>
        <w:autoSpaceDN/>
        <w:bidi w:val="0"/>
        <w:adjustRightInd w:val="0"/>
        <w:snapToGrid w:val="0"/>
        <w:spacing w:line="288" w:lineRule="auto"/>
        <w:ind w:firstLine="1500" w:firstLineChars="1000"/>
        <w:textAlignment w:val="auto"/>
        <w:rPr>
          <w:rFonts w:ascii="宋体"/>
          <w:sz w:val="15"/>
          <w:highlight w:val="yellow"/>
        </w:rPr>
      </w:pPr>
      <w:r>
        <w:rPr>
          <w:rFonts w:hint="eastAsia" w:ascii="宋体"/>
          <w:sz w:val="15"/>
        </w:rPr>
        <w:t>资料来源：</w:t>
      </w:r>
      <w:r>
        <w:rPr>
          <w:rFonts w:hint="eastAsia" w:ascii="宋体"/>
          <w:color w:val="FF0000"/>
          <w:sz w:val="15"/>
          <w:highlight w:val="none"/>
        </w:rPr>
        <w:t>（六号宋体）</w:t>
      </w:r>
    </w:p>
    <w:p w14:paraId="72D052B5">
      <w:pPr>
        <w:keepNext w:val="0"/>
        <w:keepLines w:val="0"/>
        <w:pageBreakBefore w:val="0"/>
        <w:widowControl w:val="0"/>
        <w:kinsoku/>
        <w:wordWrap/>
        <w:overflowPunct/>
        <w:topLinePunct w:val="0"/>
        <w:autoSpaceDE/>
        <w:autoSpaceDN/>
        <w:bidi w:val="0"/>
        <w:adjustRightInd w:val="0"/>
        <w:snapToGrid w:val="0"/>
        <w:spacing w:before="157" w:beforeLines="50" w:after="157" w:afterLines="50" w:line="288" w:lineRule="auto"/>
        <w:ind w:firstLine="480" w:firstLineChars="200"/>
        <w:textAlignment w:val="auto"/>
        <w:rPr>
          <w:rFonts w:eastAsia="黑体"/>
          <w:b w:val="0"/>
          <w:bCs w:val="0"/>
          <w:color w:val="FF0000"/>
          <w:sz w:val="24"/>
        </w:rPr>
      </w:pPr>
      <w:r>
        <w:rPr>
          <w:rFonts w:hint="eastAsia" w:eastAsia="黑体"/>
          <w:b w:val="0"/>
          <w:bCs w:val="0"/>
          <w:sz w:val="24"/>
        </w:rPr>
        <w:t>三、其他</w:t>
      </w:r>
      <w:r>
        <w:rPr>
          <w:rFonts w:hint="eastAsia" w:eastAsia="黑体"/>
          <w:b w:val="0"/>
          <w:bCs w:val="0"/>
          <w:color w:val="FF0000"/>
          <w:sz w:val="24"/>
        </w:rPr>
        <w:t>（一级标题，小四</w:t>
      </w:r>
      <w:r>
        <w:rPr>
          <w:rFonts w:hint="eastAsia" w:eastAsia="黑体"/>
          <w:b w:val="0"/>
          <w:bCs w:val="0"/>
          <w:color w:val="FF0000"/>
          <w:sz w:val="24"/>
          <w:lang w:val="en-US" w:eastAsia="zh-CN"/>
        </w:rPr>
        <w:t>号，</w:t>
      </w:r>
      <w:r>
        <w:rPr>
          <w:rFonts w:hint="eastAsia" w:eastAsia="黑体"/>
          <w:b w:val="0"/>
          <w:bCs w:val="0"/>
          <w:color w:val="FF0000"/>
          <w:sz w:val="24"/>
        </w:rPr>
        <w:t>黑体）</w:t>
      </w:r>
    </w:p>
    <w:p w14:paraId="3D01D31B">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textAlignment w:val="auto"/>
        <w:rPr>
          <w:rFonts w:hint="eastAsia" w:ascii="黑体" w:hAnsi="黑体" w:eastAsia="黑体" w:cs="黑体"/>
          <w:color w:val="FF0000"/>
          <w:szCs w:val="24"/>
        </w:rPr>
      </w:pPr>
      <w:r>
        <w:rPr>
          <w:rFonts w:hint="eastAsia" w:ascii="黑体" w:hAnsi="黑体" w:eastAsia="黑体" w:cs="黑体"/>
          <w:szCs w:val="24"/>
        </w:rPr>
        <w:t>（一）其他规则</w:t>
      </w:r>
      <w:r>
        <w:rPr>
          <w:rFonts w:hint="eastAsia" w:ascii="黑体" w:hAnsi="黑体" w:eastAsia="黑体" w:cs="黑体"/>
          <w:color w:val="FF0000"/>
          <w:szCs w:val="24"/>
        </w:rPr>
        <w:t>（二级标题，五号黑体）</w:t>
      </w:r>
    </w:p>
    <w:p w14:paraId="0A0C7546">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szCs w:val="24"/>
        </w:rPr>
      </w:pPr>
      <w:r>
        <w:rPr>
          <w:rFonts w:hint="eastAsia"/>
          <w:szCs w:val="24"/>
        </w:rPr>
        <w:t>1.符号规则</w:t>
      </w:r>
      <w:r>
        <w:rPr>
          <w:rFonts w:hint="eastAsia"/>
          <w:color w:val="FF0000"/>
          <w:szCs w:val="24"/>
        </w:rPr>
        <w:t>（三级标题，五号宋体）</w:t>
      </w:r>
    </w:p>
    <w:p w14:paraId="04743566">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rFonts w:hint="eastAsia"/>
          <w:szCs w:val="24"/>
        </w:rPr>
      </w:pPr>
      <w:r>
        <w:rPr>
          <w:rFonts w:hint="eastAsia"/>
          <w:szCs w:val="24"/>
        </w:rPr>
        <w:t>文中术语、符号及英文缩写第一次出现时，请写出全称，下文中即可直接引用。</w:t>
      </w:r>
    </w:p>
    <w:p w14:paraId="458E7B53">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szCs w:val="24"/>
          <w:highlight w:val="yellow"/>
        </w:rPr>
      </w:pPr>
      <w:r>
        <w:rPr>
          <w:rFonts w:hint="eastAsia"/>
          <w:szCs w:val="24"/>
          <w:highlight w:val="yellow"/>
        </w:rPr>
        <w:t>2.英文</w:t>
      </w:r>
      <w:r>
        <w:rPr>
          <w:rFonts w:hint="eastAsia"/>
          <w:szCs w:val="24"/>
          <w:highlight w:val="yellow"/>
          <w:lang w:eastAsia="zh-CN"/>
        </w:rPr>
        <w:t>、</w:t>
      </w:r>
      <w:r>
        <w:rPr>
          <w:rFonts w:hint="eastAsia"/>
          <w:szCs w:val="24"/>
          <w:highlight w:val="yellow"/>
          <w:lang w:val="en-US" w:eastAsia="zh-CN"/>
        </w:rPr>
        <w:t>阿拉伯</w:t>
      </w:r>
      <w:r>
        <w:rPr>
          <w:rFonts w:hint="eastAsia"/>
          <w:szCs w:val="24"/>
          <w:highlight w:val="yellow"/>
        </w:rPr>
        <w:t>数字</w:t>
      </w:r>
      <w:r>
        <w:rPr>
          <w:rFonts w:hint="eastAsia"/>
          <w:szCs w:val="24"/>
          <w:highlight w:val="yellow"/>
          <w:lang w:eastAsia="zh-CN"/>
        </w:rPr>
        <w:t>、</w:t>
      </w:r>
      <w:r>
        <w:rPr>
          <w:rFonts w:hint="eastAsia"/>
          <w:szCs w:val="24"/>
          <w:highlight w:val="yellow"/>
          <w:lang w:val="en-US" w:eastAsia="zh-CN"/>
        </w:rPr>
        <w:t>半角标点、公示符号规则</w:t>
      </w:r>
      <w:r>
        <w:rPr>
          <w:rFonts w:hint="eastAsia"/>
          <w:color w:val="FF0000"/>
          <w:szCs w:val="24"/>
          <w:highlight w:val="yellow"/>
        </w:rPr>
        <w:t>（三级标题，五号宋体）</w:t>
      </w:r>
    </w:p>
    <w:p w14:paraId="061DEB95">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szCs w:val="24"/>
          <w:highlight w:val="yellow"/>
        </w:rPr>
      </w:pPr>
      <w:r>
        <w:rPr>
          <w:rFonts w:hint="eastAsia"/>
          <w:szCs w:val="24"/>
          <w:highlight w:val="yellow"/>
        </w:rPr>
        <w:t>英文、阿拉伯数字、半角标点、公示符号用Times New Roman</w:t>
      </w:r>
      <w:r>
        <w:rPr>
          <w:rFonts w:hint="eastAsia"/>
          <w:szCs w:val="24"/>
          <w:highlight w:val="yellow"/>
          <w:lang w:val="en-US" w:eastAsia="zh-CN"/>
        </w:rPr>
        <w:t>字体</w:t>
      </w:r>
      <w:r>
        <w:rPr>
          <w:rFonts w:hint="eastAsia"/>
          <w:szCs w:val="24"/>
          <w:highlight w:val="yellow"/>
        </w:rPr>
        <w:t>。</w:t>
      </w:r>
    </w:p>
    <w:p w14:paraId="44E37118">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szCs w:val="24"/>
        </w:rPr>
      </w:pPr>
      <w:r>
        <w:rPr>
          <w:rFonts w:hint="eastAsia"/>
          <w:szCs w:val="24"/>
        </w:rPr>
        <w:t>3.量符号</w:t>
      </w:r>
      <w:r>
        <w:rPr>
          <w:rFonts w:hint="eastAsia"/>
          <w:szCs w:val="24"/>
          <w:lang w:val="en-US" w:eastAsia="zh-CN"/>
        </w:rPr>
        <w:t>使用</w:t>
      </w:r>
      <w:r>
        <w:rPr>
          <w:rFonts w:hint="eastAsia"/>
          <w:szCs w:val="24"/>
        </w:rPr>
        <w:t>规则</w:t>
      </w:r>
      <w:r>
        <w:rPr>
          <w:rFonts w:hint="eastAsia"/>
          <w:color w:val="FF0000"/>
          <w:szCs w:val="24"/>
        </w:rPr>
        <w:t>（三级标题，五号宋体）</w:t>
      </w:r>
    </w:p>
    <w:p w14:paraId="647687DF">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jc w:val="both"/>
        <w:textAlignment w:val="auto"/>
        <w:rPr>
          <w:szCs w:val="24"/>
        </w:rPr>
      </w:pPr>
      <w:r>
        <w:rPr>
          <w:rFonts w:hint="eastAsia"/>
          <w:szCs w:val="24"/>
        </w:rPr>
        <w:t>量的符号用单个字母表示（请不要用多个字母表示某一变量），可带有下标或其他说明性标记。量符号（如</w:t>
      </w:r>
      <w:r>
        <w:rPr>
          <w:rFonts w:hint="eastAsia"/>
          <w:i/>
          <w:iCs/>
          <w:szCs w:val="24"/>
        </w:rPr>
        <w:t xml:space="preserve"> m, F, t</w:t>
      </w:r>
      <w:r>
        <w:rPr>
          <w:rFonts w:hint="eastAsia"/>
          <w:szCs w:val="24"/>
        </w:rPr>
        <w:t>）、变量、拉丁学名用Times New Roman斜体；单位、数字、常量用正体。</w:t>
      </w:r>
    </w:p>
    <w:p w14:paraId="32477444">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textAlignment w:val="auto"/>
        <w:rPr>
          <w:szCs w:val="24"/>
        </w:rPr>
      </w:pPr>
      <w:r>
        <w:rPr>
          <w:rFonts w:hint="eastAsia"/>
          <w:szCs w:val="24"/>
        </w:rPr>
        <w:t>4.数学公式</w:t>
      </w:r>
      <w:r>
        <w:rPr>
          <w:rFonts w:hint="eastAsia"/>
          <w:color w:val="FF0000"/>
          <w:szCs w:val="24"/>
        </w:rPr>
        <w:t>（三级标题，五号宋体）</w:t>
      </w:r>
    </w:p>
    <w:p w14:paraId="7A443103">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textAlignment w:val="auto"/>
        <w:rPr>
          <w:szCs w:val="24"/>
        </w:rPr>
      </w:pPr>
      <w:r>
        <w:rPr>
          <w:rFonts w:hint="eastAsia"/>
          <w:szCs w:val="24"/>
        </w:rPr>
        <w:t>用word自带的编辑器或者mathtype编辑（不可直接粘贴图片）。全文公式统一连续编号，公式的序号放在小括号内。公式均用公式编辑器处理，公式居中，序号右齐，公式中变量符号用斜体。</w:t>
      </w:r>
    </w:p>
    <w:p w14:paraId="251937E7">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textAlignment w:val="auto"/>
        <w:rPr>
          <w:rFonts w:hint="eastAsia" w:ascii="黑体" w:hAnsi="黑体" w:eastAsia="黑体" w:cs="黑体"/>
          <w:szCs w:val="24"/>
        </w:rPr>
      </w:pPr>
      <w:r>
        <w:rPr>
          <w:rFonts w:hint="eastAsia" w:ascii="黑体" w:hAnsi="黑体" w:eastAsia="黑体" w:cs="黑体"/>
          <w:szCs w:val="24"/>
        </w:rPr>
        <w:t>（二）要求</w:t>
      </w:r>
      <w:r>
        <w:rPr>
          <w:rFonts w:hint="eastAsia" w:ascii="黑体" w:hAnsi="黑体" w:eastAsia="黑体" w:cs="黑体"/>
          <w:color w:val="FF0000"/>
          <w:szCs w:val="24"/>
        </w:rPr>
        <w:t>（二级标题，五号黑体）</w:t>
      </w:r>
    </w:p>
    <w:p w14:paraId="637804A3">
      <w:pPr>
        <w:pStyle w:val="9"/>
        <w:keepNext w:val="0"/>
        <w:keepLines w:val="0"/>
        <w:pageBreakBefore w:val="0"/>
        <w:widowControl w:val="0"/>
        <w:kinsoku/>
        <w:wordWrap/>
        <w:overflowPunct/>
        <w:topLinePunct w:val="0"/>
        <w:autoSpaceDE/>
        <w:autoSpaceDN/>
        <w:bidi w:val="0"/>
        <w:adjustRightInd w:val="0"/>
        <w:snapToGrid w:val="0"/>
        <w:spacing w:line="288" w:lineRule="auto"/>
        <w:ind w:firstLineChars="200"/>
        <w:textAlignment w:val="auto"/>
        <w:rPr>
          <w:rFonts w:hint="eastAsia"/>
          <w:szCs w:val="24"/>
        </w:rPr>
      </w:pPr>
      <w:r>
        <w:rPr>
          <w:rFonts w:hint="eastAsia"/>
          <w:szCs w:val="24"/>
          <w:lang w:val="en-US" w:eastAsia="zh-CN"/>
        </w:rPr>
        <w:t>请作者认真阅读并严格遵守排版格式要求。高质量的论文编排有助于提高编辑部工作效率，降低出错率，确保文章按时、准确出版。</w:t>
      </w:r>
    </w:p>
    <w:p w14:paraId="489A683F">
      <w:pPr>
        <w:pStyle w:val="9"/>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textAlignment w:val="auto"/>
        <w:rPr>
          <w:rFonts w:eastAsia="黑体"/>
          <w:b/>
          <w:bCs/>
          <w:color w:val="FF0000"/>
        </w:rPr>
      </w:pPr>
      <w:r>
        <w:rPr>
          <w:rFonts w:hint="eastAsia" w:eastAsia="黑体"/>
          <w:b/>
          <w:bCs/>
        </w:rPr>
        <w:t>参考文献：</w:t>
      </w:r>
      <w:r>
        <w:rPr>
          <w:rFonts w:hint="eastAsia" w:eastAsia="黑体"/>
          <w:b/>
          <w:bCs/>
          <w:color w:val="FF0000"/>
        </w:rPr>
        <w:t>（五号，黑体）</w:t>
      </w:r>
    </w:p>
    <w:p w14:paraId="669E0FCD">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r>
        <w:rPr>
          <w:rFonts w:hint="eastAsia"/>
          <w:b/>
        </w:rPr>
        <w:t>请务必保证参考文献在正文中被引用过，同时，正文中被引用过的文献也应出现在文后参考文献中。确保正文和文后参考文献的一一对应</w:t>
      </w:r>
      <w:r>
        <w:rPr>
          <w:rFonts w:hint="eastAsia"/>
        </w:rPr>
        <w:t>。</w:t>
      </w:r>
    </w:p>
    <w:p w14:paraId="58D12049">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r>
        <w:rPr>
          <w:rFonts w:hint="eastAsia"/>
        </w:rPr>
        <w:t>严格按GB/T 7714—2025中的编码制格式著录。</w:t>
      </w:r>
    </w:p>
    <w:p w14:paraId="69D0712D">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b/>
          <w:bCs/>
        </w:rPr>
      </w:pPr>
      <w:r>
        <w:rPr>
          <w:rFonts w:hint="eastAsia"/>
          <w:b/>
          <w:bCs/>
        </w:rPr>
        <w:t>1.参考文献在正文中出现的形式为上标加序号形式。</w:t>
      </w:r>
    </w:p>
    <w:p w14:paraId="7C92B152">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b/>
          <w:highlight w:val="none"/>
        </w:rPr>
      </w:pPr>
      <w:r>
        <w:rPr>
          <w:rFonts w:hint="eastAsia"/>
          <w:b/>
          <w:bCs/>
          <w:highlight w:val="none"/>
        </w:rPr>
        <w:t>正文中参考文献的格式：</w:t>
      </w:r>
    </w:p>
    <w:p w14:paraId="22A99F29">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highlight w:val="none"/>
        </w:rPr>
      </w:pPr>
      <w:r>
        <w:rPr>
          <w:rFonts w:hint="eastAsia"/>
          <w:highlight w:val="none"/>
        </w:rPr>
        <w:t>（1）学术</w:t>
      </w:r>
      <w:r>
        <w:rPr>
          <w:rFonts w:hint="eastAsia"/>
          <w:highlight w:val="none"/>
          <w:lang w:val="en-US" w:eastAsia="zh-CN"/>
        </w:rPr>
        <w:t>期刊</w:t>
      </w:r>
      <w:r>
        <w:rPr>
          <w:rFonts w:hint="eastAsia"/>
          <w:highlight w:val="none"/>
        </w:rPr>
        <w:t>是开展学术研究的重要平台，是传播思想文化的重要阵地，是促进理论创新和科技进步的重要力量</w:t>
      </w:r>
      <w:r>
        <w:rPr>
          <w:rFonts w:hint="eastAsia"/>
          <w:highlight w:val="none"/>
          <w:vertAlign w:val="superscript"/>
        </w:rPr>
        <w:t>[1]</w:t>
      </w:r>
      <w:r>
        <w:rPr>
          <w:rFonts w:hint="eastAsia"/>
          <w:highlight w:val="none"/>
        </w:rPr>
        <w:t>。</w:t>
      </w:r>
      <w:r>
        <w:rPr>
          <w:rFonts w:hint="eastAsia"/>
          <w:color w:val="FF0000"/>
          <w:highlight w:val="none"/>
        </w:rPr>
        <w:t>（引用标注在标点符号内）</w:t>
      </w:r>
    </w:p>
    <w:p w14:paraId="604BB1D9">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highlight w:val="none"/>
        </w:rPr>
      </w:pPr>
      <w:r>
        <w:rPr>
          <w:b/>
          <w:bCs/>
          <w:highlight w:val="none"/>
        </w:rPr>
        <w:t>2.</w:t>
      </w:r>
      <w:r>
        <w:rPr>
          <w:rFonts w:hint="eastAsia"/>
          <w:b/>
          <w:bCs/>
          <w:highlight w:val="none"/>
        </w:rPr>
        <w:t>文后参考文献按正文中引用文献的顺序依次排列，序号用阿拉伯数字并置于方括号中。</w:t>
      </w:r>
    </w:p>
    <w:p w14:paraId="52F2B663">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b/>
          <w:bCs/>
          <w:highlight w:val="none"/>
        </w:rPr>
      </w:pPr>
      <w:r>
        <w:rPr>
          <w:rFonts w:hint="eastAsia"/>
          <w:b/>
          <w:bCs/>
          <w:highlight w:val="none"/>
        </w:rPr>
        <w:t>参考文献格式要求：</w:t>
      </w:r>
    </w:p>
    <w:p w14:paraId="444BC4AA">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highlight w:val="none"/>
        </w:rPr>
      </w:pPr>
      <w:r>
        <w:rPr>
          <w:rFonts w:hint="eastAsia"/>
          <w:highlight w:val="none"/>
        </w:rPr>
        <w:t>（1）西文和汉语拼音字母书写的著者，一律按姓前名后格式著录，姓的首字母大写，名字按规则缩写，省略“.”；</w:t>
      </w:r>
    </w:p>
    <w:p w14:paraId="29C4794A">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highlight w:val="none"/>
        </w:rPr>
      </w:pPr>
      <w:r>
        <w:rPr>
          <w:rFonts w:hint="eastAsia"/>
          <w:highlight w:val="none"/>
        </w:rPr>
        <w:t>（2）期刊、论文集等</w:t>
      </w:r>
      <w:r>
        <w:rPr>
          <w:rFonts w:hint="eastAsia"/>
          <w:highlight w:val="none"/>
          <w:lang w:val="en-US" w:eastAsia="zh-CN"/>
        </w:rPr>
        <w:t>文献</w:t>
      </w:r>
      <w:r>
        <w:rPr>
          <w:rFonts w:hint="eastAsia"/>
          <w:highlight w:val="none"/>
        </w:rPr>
        <w:t>中析出的</w:t>
      </w:r>
      <w:r>
        <w:rPr>
          <w:rFonts w:hint="eastAsia"/>
          <w:highlight w:val="none"/>
          <w:lang w:val="en-US" w:eastAsia="zh-CN"/>
        </w:rPr>
        <w:t>内容</w:t>
      </w:r>
      <w:r>
        <w:rPr>
          <w:rFonts w:hint="eastAsia"/>
          <w:highlight w:val="none"/>
        </w:rPr>
        <w:t>，作为阅读型文献引用时标注文章的起始页，作为引文文献引用时标注引用信息所在页；</w:t>
      </w:r>
    </w:p>
    <w:p w14:paraId="716DC2F4">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highlight w:val="none"/>
        </w:rPr>
      </w:pPr>
      <w:r>
        <w:rPr>
          <w:rFonts w:hint="eastAsia"/>
          <w:highlight w:val="none"/>
        </w:rPr>
        <w:t xml:space="preserve">（3）标准类文献的题名项采用“标准名称: 标准编号[S]”格式； </w:t>
      </w:r>
    </w:p>
    <w:p w14:paraId="1ADCF7E4">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r>
        <w:rPr>
          <w:rFonts w:hint="eastAsia"/>
        </w:rPr>
        <w:t>（4）原文献副题名前的“――”应改为标识符号“：”；</w:t>
      </w:r>
    </w:p>
    <w:p w14:paraId="2A1E9303">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r>
        <w:rPr>
          <w:rFonts w:hint="eastAsia"/>
        </w:rPr>
        <w:t>（5）日期采用全数字标注，如2023-01-01；</w:t>
      </w:r>
    </w:p>
    <w:p w14:paraId="71FAA1DE">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r>
        <w:rPr>
          <w:rFonts w:hint="eastAsia"/>
        </w:rPr>
        <w:t>（6）不设卷的期刊的年、期著录为“年（期）”，个位数期号前不添“0”；</w:t>
      </w:r>
    </w:p>
    <w:p w14:paraId="3720C24D">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rFonts w:hint="eastAsia" w:eastAsia="宋体"/>
          <w:lang w:eastAsia="zh-CN"/>
        </w:rPr>
      </w:pPr>
      <w:r>
        <w:rPr>
          <w:rFonts w:hint="eastAsia"/>
        </w:rPr>
        <w:t>（7）法规、文件、科技档案等的文献类型标识符为“A”</w:t>
      </w:r>
      <w:r>
        <w:rPr>
          <w:rFonts w:hint="eastAsia"/>
          <w:lang w:eastAsia="zh-CN"/>
        </w:rPr>
        <w:t>。</w:t>
      </w:r>
    </w:p>
    <w:p w14:paraId="7ECAD92A">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pPr>
    </w:p>
    <w:p w14:paraId="46FA0E41">
      <w:pPr>
        <w:keepNext w:val="0"/>
        <w:keepLines w:val="0"/>
        <w:pageBreakBefore w:val="0"/>
        <w:widowControl w:val="0"/>
        <w:kinsoku/>
        <w:wordWrap/>
        <w:overflowPunct/>
        <w:autoSpaceDE/>
        <w:autoSpaceDN/>
        <w:bidi w:val="0"/>
        <w:adjustRightInd w:val="0"/>
        <w:snapToGrid w:val="0"/>
        <w:spacing w:line="288" w:lineRule="auto"/>
        <w:textAlignment w:val="auto"/>
        <w:rPr>
          <w:rFonts w:hint="default" w:eastAsia="宋体"/>
          <w:color w:val="FF0000"/>
          <w:lang w:val="en-US" w:eastAsia="zh-CN"/>
        </w:rPr>
      </w:pPr>
      <w:r>
        <w:rPr>
          <w:rFonts w:hint="eastAsia"/>
          <w:sz w:val="18"/>
          <w:szCs w:val="18"/>
        </w:rPr>
        <w:t>示例：</w:t>
      </w:r>
      <w:r>
        <w:rPr>
          <w:rFonts w:hint="eastAsia"/>
          <w:color w:val="FF0000"/>
          <w:lang w:eastAsia="zh-CN"/>
        </w:rPr>
        <w:t>（</w:t>
      </w:r>
      <w:r>
        <w:rPr>
          <w:rFonts w:hint="eastAsia"/>
          <w:color w:val="FF0000"/>
          <w:lang w:val="en-US" w:eastAsia="zh-CN"/>
        </w:rPr>
        <w:t>中文小五宋体，英文、数字小五Times New Roman</w:t>
      </w:r>
      <w:r>
        <w:rPr>
          <w:rFonts w:hint="eastAsia"/>
          <w:color w:val="FF0000"/>
          <w:lang w:eastAsia="zh-CN"/>
        </w:rPr>
        <w:t>）</w:t>
      </w:r>
    </w:p>
    <w:p w14:paraId="02019FF8">
      <w:pPr>
        <w:keepNext w:val="0"/>
        <w:keepLines w:val="0"/>
        <w:pageBreakBefore w:val="0"/>
        <w:widowControl w:val="0"/>
        <w:kinsoku/>
        <w:wordWrap/>
        <w:overflowPunct/>
        <w:topLinePunct/>
        <w:autoSpaceDE/>
        <w:autoSpaceDN/>
        <w:bidi w:val="0"/>
        <w:adjustRightInd w:val="0"/>
        <w:snapToGrid w:val="0"/>
        <w:spacing w:line="288" w:lineRule="auto"/>
        <w:textAlignment w:val="auto"/>
        <w:rPr>
          <w:color w:val="FF0000"/>
          <w:sz w:val="18"/>
          <w:szCs w:val="18"/>
        </w:rPr>
      </w:pPr>
      <w:bookmarkStart w:id="0" w:name="OLE_LINK6"/>
      <w:r>
        <w:rPr>
          <w:rFonts w:hint="eastAsia"/>
          <w:color w:val="FF0000"/>
          <w:sz w:val="18"/>
          <w:szCs w:val="18"/>
          <w:highlight w:val="yellow"/>
          <w:lang w:val="en-US" w:eastAsia="zh-CN"/>
        </w:rPr>
        <w:t>期</w:t>
      </w:r>
      <w:r>
        <w:rPr>
          <w:rFonts w:hint="eastAsia"/>
          <w:color w:val="FF0000"/>
          <w:sz w:val="18"/>
          <w:szCs w:val="18"/>
          <w:highlight w:val="yellow"/>
        </w:rPr>
        <w:t>刊论文：</w:t>
      </w:r>
      <w:r>
        <w:rPr>
          <w:rFonts w:hint="eastAsia" w:ascii="宋体" w:hAnsi="宋体" w:eastAsia="宋体" w:cs="宋体"/>
          <w:color w:val="FF0000"/>
          <w:sz w:val="18"/>
          <w:szCs w:val="18"/>
          <w:highlight w:val="none"/>
        </w:rPr>
        <w:t>作者.文献题名</w:t>
      </w:r>
      <w:r>
        <w:rPr>
          <w:rFonts w:hint="default" w:ascii="Times New Roman" w:hAnsi="Times New Roman" w:eastAsia="宋体" w:cs="Times New Roman"/>
          <w:color w:val="FF0000"/>
          <w:sz w:val="18"/>
          <w:szCs w:val="18"/>
          <w:highlight w:val="none"/>
        </w:rPr>
        <w:t>[J]</w:t>
      </w:r>
      <w:r>
        <w:rPr>
          <w:rFonts w:hint="eastAsia" w:ascii="宋体" w:hAnsi="宋体" w:eastAsia="宋体" w:cs="宋体"/>
          <w:color w:val="FF0000"/>
          <w:sz w:val="18"/>
          <w:szCs w:val="18"/>
          <w:highlight w:val="none"/>
        </w:rPr>
        <w:t>.刊名,出版年,卷(期):</w:t>
      </w:r>
      <w:r>
        <w:rPr>
          <w:rFonts w:hint="eastAsia" w:ascii="宋体" w:hAnsi="宋体" w:eastAsia="宋体" w:cs="宋体"/>
          <w:color w:val="FF0000"/>
          <w:sz w:val="18"/>
          <w:szCs w:val="18"/>
          <w:highlight w:val="yellow"/>
        </w:rPr>
        <w:t>起始页码-终止页码</w:t>
      </w:r>
      <w:r>
        <w:rPr>
          <w:rFonts w:hint="eastAsia" w:ascii="宋体" w:hAnsi="宋体" w:eastAsia="宋体" w:cs="宋体"/>
          <w:color w:val="FF0000"/>
          <w:sz w:val="18"/>
          <w:szCs w:val="18"/>
          <w:highlight w:val="none"/>
        </w:rPr>
        <w:t>.（作者超过三位，只列出前三位，加上“,等”）</w:t>
      </w:r>
      <w:r>
        <w:rPr>
          <w:rFonts w:hint="eastAsia" w:ascii="宋体" w:hAnsi="宋体" w:eastAsia="宋体" w:cs="宋体"/>
          <w:color w:val="FF0000"/>
          <w:sz w:val="18"/>
          <w:szCs w:val="18"/>
        </w:rPr>
        <w:t>；不设卷的期刊的年、期著录为“年（期）”，个位数期号前不添</w:t>
      </w:r>
      <w:r>
        <w:rPr>
          <w:rFonts w:hint="eastAsia"/>
          <w:color w:val="FF0000"/>
          <w:sz w:val="18"/>
          <w:szCs w:val="18"/>
        </w:rPr>
        <w:t>“0”</w:t>
      </w:r>
    </w:p>
    <w:p w14:paraId="38F775CF">
      <w:pPr>
        <w:pStyle w:val="27"/>
        <w:keepNext w:val="0"/>
        <w:keepLines w:val="0"/>
        <w:pageBreakBefore w:val="0"/>
        <w:widowControl w:val="0"/>
        <w:numPr>
          <w:ilvl w:val="0"/>
          <w:numId w:val="0"/>
        </w:numPr>
        <w:tabs>
          <w:tab w:val="clear" w:pos="562"/>
        </w:tabs>
        <w:kinsoku/>
        <w:wordWrap/>
        <w:overflowPunct/>
        <w:topLinePunct w:val="0"/>
        <w:autoSpaceDE/>
        <w:autoSpaceDN/>
        <w:bidi w:val="0"/>
        <w:adjustRightInd w:val="0"/>
        <w:snapToGrid w:val="0"/>
        <w:spacing w:line="288" w:lineRule="auto"/>
        <w:ind w:left="0" w:leftChars="0" w:firstLine="0" w:firstLineChars="0"/>
        <w:jc w:val="left"/>
        <w:textAlignment w:val="auto"/>
        <w:rPr>
          <w:rFonts w:hint="eastAsia" w:ascii="宋体" w:hAnsi="宋体" w:eastAsia="宋体" w:cs="宋体"/>
          <w:color w:val="000000" w:themeColor="text1"/>
          <w:sz w:val="18"/>
          <w:szCs w:val="18"/>
          <w14:textFill>
            <w14:solidFill>
              <w14:schemeClr w14:val="tx1"/>
            </w14:solidFill>
          </w14:textFill>
        </w:rPr>
      </w:pP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[1]</w:t>
      </w:r>
      <w:r>
        <w:rPr>
          <w:rFonts w:hint="eastAsia" w:ascii="宋体" w:hAnsi="宋体" w:eastAsia="宋体" w:cs="宋体"/>
          <w:color w:val="000000" w:themeColor="text1"/>
          <w:sz w:val="18"/>
          <w:szCs w:val="18"/>
          <w14:textFill>
            <w14:solidFill>
              <w14:schemeClr w14:val="tx1"/>
            </w14:solidFill>
          </w14:textFill>
        </w:rPr>
        <w:t>朱南香，颜翔．人工智能时代职业院校教师角色的发展机遇、现实偏向与优化路径[J]．职</w:t>
      </w:r>
    </w:p>
    <w:p w14:paraId="1362A418">
      <w:pPr>
        <w:pStyle w:val="27"/>
        <w:keepNext w:val="0"/>
        <w:keepLines w:val="0"/>
        <w:pageBreakBefore w:val="0"/>
        <w:widowControl w:val="0"/>
        <w:numPr>
          <w:ilvl w:val="0"/>
          <w:numId w:val="0"/>
        </w:numPr>
        <w:tabs>
          <w:tab w:val="clear" w:pos="562"/>
        </w:tabs>
        <w:kinsoku/>
        <w:wordWrap/>
        <w:overflowPunct/>
        <w:topLinePunct w:val="0"/>
        <w:autoSpaceDE/>
        <w:autoSpaceDN/>
        <w:bidi w:val="0"/>
        <w:adjustRightInd w:val="0"/>
        <w:snapToGrid w:val="0"/>
        <w:spacing w:line="288" w:lineRule="auto"/>
        <w:ind w:left="0" w:leftChars="0" w:firstLine="0" w:firstLineChars="0"/>
        <w:jc w:val="left"/>
        <w:textAlignment w:val="auto"/>
        <w:rPr>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教发展研究，2023（3）：</w:t>
      </w:r>
      <w:r>
        <w:rPr>
          <w:rFonts w:hint="eastAsia" w:ascii="宋体" w:hAnsi="宋体" w:eastAsia="宋体" w:cs="宋体"/>
          <w:color w:val="000000" w:themeColor="text1"/>
          <w:sz w:val="18"/>
          <w:szCs w:val="18"/>
          <w:highlight w:val="yellow"/>
          <w14:textFill>
            <w14:solidFill>
              <w14:schemeClr w14:val="tx1"/>
            </w14:solidFill>
          </w14:textFill>
        </w:rPr>
        <w:t>67–74</w:t>
      </w:r>
      <w:r>
        <w:rPr>
          <w:rFonts w:hint="eastAsia" w:ascii="宋体" w:hAnsi="宋体" w:eastAsia="宋体" w:cs="宋体"/>
          <w:color w:val="000000" w:themeColor="text1"/>
          <w:sz w:val="18"/>
          <w:szCs w:val="18"/>
          <w14:textFill>
            <w14:solidFill>
              <w14:schemeClr w14:val="tx1"/>
            </w14:solidFill>
          </w14:textFill>
        </w:rPr>
        <w:t>．</w:t>
      </w:r>
    </w:p>
    <w:bookmarkEnd w:id="0"/>
    <w:p w14:paraId="20A84569">
      <w:pPr>
        <w:pStyle w:val="27"/>
        <w:keepNext w:val="0"/>
        <w:keepLines w:val="0"/>
        <w:pageBreakBefore w:val="0"/>
        <w:widowControl w:val="0"/>
        <w:numPr>
          <w:ilvl w:val="0"/>
          <w:numId w:val="0"/>
        </w:numPr>
        <w:tabs>
          <w:tab w:val="clear" w:pos="562"/>
        </w:tabs>
        <w:kinsoku/>
        <w:wordWrap/>
        <w:overflowPunct/>
        <w:topLinePunct w:val="0"/>
        <w:autoSpaceDE/>
        <w:autoSpaceDN/>
        <w:bidi w:val="0"/>
        <w:adjustRightInd w:val="0"/>
        <w:snapToGrid w:val="0"/>
        <w:spacing w:line="288" w:lineRule="auto"/>
        <w:ind w:left="0" w:firstLine="0" w:firstLineChars="0"/>
        <w:textAlignment w:val="auto"/>
        <w:rPr>
          <w:rFonts w:hint="eastAsia" w:ascii="宋体" w:hAnsi="宋体" w:eastAsia="宋体" w:cs="宋体"/>
          <w:color w:val="000000" w:themeColor="text1"/>
          <w:sz w:val="18"/>
          <w:szCs w:val="18"/>
          <w14:textFill>
            <w14:solidFill>
              <w14:schemeClr w14:val="tx1"/>
            </w14:solidFill>
          </w14:textFill>
        </w:rPr>
      </w:pP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[2]</w:t>
      </w:r>
      <w:r>
        <w:rPr>
          <w:rFonts w:hint="eastAsia" w:ascii="宋体" w:hAnsi="宋体" w:eastAsia="宋体" w:cs="宋体"/>
          <w:color w:val="000000" w:themeColor="text1"/>
          <w:sz w:val="18"/>
          <w:szCs w:val="18"/>
          <w14:textFill>
            <w14:solidFill>
              <w14:schemeClr w14:val="tx1"/>
            </w14:solidFill>
          </w14:textFill>
        </w:rPr>
        <w:t>黄荣怀，刘嘉豪，潘静文，等．面向智能时代的教育系统性变革：数字化赋能教育综合改</w:t>
      </w:r>
    </w:p>
    <w:p w14:paraId="4A3DECA2">
      <w:pPr>
        <w:pStyle w:val="27"/>
        <w:keepNext w:val="0"/>
        <w:keepLines w:val="0"/>
        <w:pageBreakBefore w:val="0"/>
        <w:widowControl w:val="0"/>
        <w:numPr>
          <w:ilvl w:val="0"/>
          <w:numId w:val="0"/>
        </w:numPr>
        <w:tabs>
          <w:tab w:val="clear" w:pos="562"/>
        </w:tabs>
        <w:kinsoku/>
        <w:wordWrap/>
        <w:overflowPunct/>
        <w:topLinePunct w:val="0"/>
        <w:autoSpaceDE/>
        <w:autoSpaceDN/>
        <w:bidi w:val="0"/>
        <w:adjustRightInd w:val="0"/>
        <w:snapToGrid w:val="0"/>
        <w:spacing w:line="288" w:lineRule="auto"/>
        <w:ind w:left="0" w:firstLine="0" w:firstLineChars="0"/>
        <w:textAlignment w:val="auto"/>
        <w:rPr>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革[J]．电化教育研究，2025，46（4）：5–12．</w:t>
      </w:r>
    </w:p>
    <w:p w14:paraId="7BC54562">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color w:val="FF0000"/>
          <w:sz w:val="18"/>
          <w:szCs w:val="18"/>
          <w:highlight w:val="none"/>
        </w:rPr>
      </w:pPr>
      <w:r>
        <w:rPr>
          <w:rFonts w:hint="eastAsia" w:ascii="宋体" w:hAnsi="宋体" w:eastAsia="宋体" w:cs="宋体"/>
          <w:color w:val="FF0000"/>
          <w:sz w:val="18"/>
          <w:szCs w:val="18"/>
          <w:highlight w:val="yellow"/>
        </w:rPr>
        <w:t>专著：</w:t>
      </w:r>
      <w:r>
        <w:rPr>
          <w:rFonts w:hint="eastAsia" w:ascii="宋体" w:hAnsi="宋体" w:eastAsia="宋体" w:cs="宋体"/>
          <w:color w:val="FF0000"/>
          <w:sz w:val="18"/>
          <w:szCs w:val="18"/>
          <w:highlight w:val="none"/>
        </w:rPr>
        <w:t>作者.专著名</w:t>
      </w:r>
      <w:r>
        <w:rPr>
          <w:rFonts w:hint="default" w:ascii="Times New Roman" w:hAnsi="Times New Roman" w:eastAsia="宋体" w:cs="Times New Roman"/>
          <w:color w:val="FF0000"/>
          <w:sz w:val="18"/>
          <w:szCs w:val="18"/>
          <w:highlight w:val="none"/>
        </w:rPr>
        <w:t>[M]</w:t>
      </w:r>
      <w:r>
        <w:rPr>
          <w:rFonts w:hint="eastAsia" w:ascii="宋体" w:hAnsi="宋体" w:eastAsia="宋体" w:cs="宋体"/>
          <w:color w:val="FF0000"/>
          <w:sz w:val="18"/>
          <w:szCs w:val="18"/>
          <w:highlight w:val="none"/>
        </w:rPr>
        <w:t>.版本</w:t>
      </w:r>
      <w:r>
        <w:rPr>
          <w:rFonts w:hint="eastAsia" w:ascii="宋体" w:hAnsi="宋体" w:cs="宋体"/>
          <w:color w:val="FF0000"/>
          <w:sz w:val="18"/>
          <w:szCs w:val="18"/>
          <w:highlight w:val="none"/>
          <w:lang w:eastAsia="zh-CN"/>
        </w:rPr>
        <w:t>（</w:t>
      </w:r>
      <w:r>
        <w:rPr>
          <w:rFonts w:hint="eastAsia" w:ascii="宋体" w:hAnsi="宋体" w:eastAsia="宋体" w:cs="宋体"/>
          <w:color w:val="FF0000"/>
          <w:sz w:val="18"/>
          <w:szCs w:val="18"/>
          <w:highlight w:val="none"/>
        </w:rPr>
        <w:t>首版省略</w:t>
      </w:r>
      <w:r>
        <w:rPr>
          <w:rFonts w:hint="eastAsia" w:ascii="宋体" w:hAnsi="宋体" w:cs="宋体"/>
          <w:color w:val="FF0000"/>
          <w:sz w:val="18"/>
          <w:szCs w:val="18"/>
          <w:highlight w:val="none"/>
          <w:lang w:eastAsia="zh-CN"/>
        </w:rPr>
        <w:t>）</w:t>
      </w:r>
      <w:r>
        <w:rPr>
          <w:rFonts w:hint="eastAsia" w:ascii="宋体" w:hAnsi="宋体" w:eastAsia="宋体" w:cs="宋体"/>
          <w:color w:val="FF0000"/>
          <w:sz w:val="18"/>
          <w:szCs w:val="18"/>
          <w:highlight w:val="none"/>
        </w:rPr>
        <w:t>.出版地:出版者,出版年:起始页码-终止页码.</w:t>
      </w:r>
    </w:p>
    <w:p w14:paraId="23ACAAAC">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color w:val="FF0000"/>
          <w:sz w:val="18"/>
          <w:szCs w:val="18"/>
          <w:highlight w:val="none"/>
          <w:lang w:val="en-US" w:eastAsia="zh-CN"/>
        </w:rPr>
      </w:pPr>
      <w:r>
        <w:rPr>
          <w:rFonts w:hint="eastAsia" w:ascii="宋体" w:hAnsi="宋体" w:eastAsia="宋体" w:cs="宋体"/>
          <w:color w:val="FF0000"/>
          <w:sz w:val="18"/>
          <w:szCs w:val="18"/>
          <w:highlight w:val="none"/>
        </w:rPr>
        <w:t>或原作者.译著名:版本(首版省略).</w:t>
      </w:r>
      <w:r>
        <w:rPr>
          <w:rFonts w:hint="default" w:ascii="Times New Roman" w:hAnsi="Times New Roman" w:eastAsia="宋体" w:cs="Times New Roman"/>
          <w:color w:val="FF0000"/>
          <w:sz w:val="18"/>
          <w:szCs w:val="18"/>
          <w:highlight w:val="none"/>
        </w:rPr>
        <w:t>[M]</w:t>
      </w:r>
      <w:r>
        <w:rPr>
          <w:rFonts w:hint="eastAsia" w:ascii="宋体" w:hAnsi="宋体" w:eastAsia="宋体" w:cs="宋体"/>
          <w:color w:val="FF0000"/>
          <w:sz w:val="18"/>
          <w:szCs w:val="18"/>
          <w:highlight w:val="none"/>
        </w:rPr>
        <w:t>.译者,译.译著版本（首版省略）.出版地:出版者,出版年:起始页码-终止页码</w:t>
      </w:r>
      <w:r>
        <w:rPr>
          <w:rFonts w:hint="eastAsia" w:ascii="宋体" w:hAnsi="宋体" w:cs="宋体"/>
          <w:color w:val="FF0000"/>
          <w:sz w:val="18"/>
          <w:szCs w:val="18"/>
          <w:highlight w:val="none"/>
          <w:lang w:val="en-US" w:eastAsia="zh-CN"/>
        </w:rPr>
        <w:t>.</w:t>
      </w:r>
    </w:p>
    <w:p w14:paraId="321C4B06">
      <w:pPr>
        <w:pStyle w:val="27"/>
        <w:numPr>
          <w:ilvl w:val="0"/>
          <w:numId w:val="0"/>
        </w:numPr>
        <w:tabs>
          <w:tab w:val="clear" w:pos="562"/>
        </w:tabs>
        <w:topLinePunct/>
        <w:adjustRightInd w:val="0"/>
        <w:snapToGrid w:val="0"/>
        <w:spacing w:line="288" w:lineRule="auto"/>
        <w:ind w:left="397" w:hanging="397"/>
        <w:rPr>
          <w:color w:val="000000" w:themeColor="text1"/>
          <w:sz w:val="18"/>
          <w:szCs w:val="18"/>
          <w14:textFill>
            <w14:solidFill>
              <w14:schemeClr w14:val="tx1"/>
            </w14:solidFill>
          </w14:textFill>
        </w:rPr>
      </w:pP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cs="Times New Roman"/>
          <w:b w:val="0"/>
          <w:color w:val="000000" w:themeColor="text1"/>
          <w:kern w:val="2"/>
          <w:sz w:val="18"/>
          <w:szCs w:val="18"/>
          <w:lang w:val="en-US" w:eastAsia="zh-CN" w:bidi="ar-SA"/>
          <w14:textFill>
            <w14:solidFill>
              <w14:schemeClr w14:val="tx1"/>
            </w14:solidFill>
          </w14:textFill>
        </w:rPr>
        <w:t>3</w:t>
      </w: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ascii="宋体" w:hAnsi="宋体" w:eastAsia="宋体" w:cs="宋体"/>
          <w:color w:val="000000" w:themeColor="text1"/>
          <w:sz w:val="18"/>
          <w:szCs w:val="18"/>
          <w14:textFill>
            <w14:solidFill>
              <w14:schemeClr w14:val="tx1"/>
            </w14:solidFill>
          </w14:textFill>
        </w:rPr>
        <w:t>张掌然．问题的哲学研究[M]．北京：人民出版社，2005：244．</w:t>
      </w:r>
    </w:p>
    <w:p w14:paraId="2617630C">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color w:val="FF0000"/>
          <w:sz w:val="18"/>
          <w:szCs w:val="18"/>
          <w:highlight w:val="none"/>
        </w:rPr>
      </w:pPr>
      <w:r>
        <w:rPr>
          <w:rFonts w:hint="eastAsia" w:ascii="宋体" w:hAnsi="宋体" w:eastAsia="宋体" w:cs="宋体"/>
          <w:color w:val="FF0000"/>
          <w:sz w:val="18"/>
          <w:szCs w:val="18"/>
          <w:highlight w:val="yellow"/>
        </w:rPr>
        <w:t>会议论文：</w:t>
      </w:r>
      <w:r>
        <w:rPr>
          <w:rFonts w:hint="eastAsia" w:ascii="宋体" w:hAnsi="宋体" w:eastAsia="宋体" w:cs="宋体"/>
          <w:color w:val="FF0000"/>
          <w:sz w:val="18"/>
          <w:szCs w:val="18"/>
        </w:rPr>
        <w:t>作者.文献题名</w:t>
      </w:r>
      <w:r>
        <w:rPr>
          <w:rFonts w:hint="default" w:ascii="Times New Roman" w:hAnsi="Times New Roman" w:eastAsia="宋体" w:cs="Times New Roman"/>
          <w:color w:val="FF0000"/>
          <w:sz w:val="18"/>
          <w:szCs w:val="18"/>
        </w:rPr>
        <w:t>[C]</w:t>
      </w:r>
      <w:r>
        <w:rPr>
          <w:rFonts w:hint="eastAsia" w:ascii="宋体" w:hAnsi="宋体" w:eastAsia="宋体" w:cs="宋体"/>
          <w:color w:val="FF0000"/>
          <w:sz w:val="18"/>
          <w:szCs w:val="18"/>
        </w:rPr>
        <w:t>//编著者.会议文集名.出版地:出版者,出版年:</w:t>
      </w:r>
      <w:r>
        <w:rPr>
          <w:rFonts w:hint="eastAsia" w:ascii="宋体" w:hAnsi="宋体" w:eastAsia="宋体" w:cs="宋体"/>
          <w:color w:val="FF0000"/>
          <w:sz w:val="18"/>
          <w:szCs w:val="18"/>
          <w:highlight w:val="none"/>
        </w:rPr>
        <w:t>起始页码-终止页码.</w:t>
      </w:r>
    </w:p>
    <w:p w14:paraId="6A3F9029">
      <w:pPr>
        <w:pStyle w:val="27"/>
        <w:numPr>
          <w:ilvl w:val="0"/>
          <w:numId w:val="0"/>
        </w:numPr>
        <w:tabs>
          <w:tab w:val="clear" w:pos="562"/>
        </w:tabs>
        <w:topLinePunct/>
        <w:adjustRightInd w:val="0"/>
        <w:snapToGrid w:val="0"/>
        <w:spacing w:line="288" w:lineRule="auto"/>
        <w:ind w:left="0" w:firstLine="0"/>
        <w:rPr>
          <w:color w:val="000000" w:themeColor="text1"/>
          <w:sz w:val="18"/>
          <w:szCs w:val="18"/>
          <w14:textFill>
            <w14:solidFill>
              <w14:schemeClr w14:val="tx1"/>
            </w14:solidFill>
          </w14:textFill>
        </w:rPr>
      </w:pP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cs="Times New Roman"/>
          <w:b w:val="0"/>
          <w:color w:val="000000" w:themeColor="text1"/>
          <w:kern w:val="2"/>
          <w:sz w:val="18"/>
          <w:szCs w:val="18"/>
          <w:lang w:val="en-US" w:eastAsia="zh-CN" w:bidi="ar-SA"/>
          <w14:textFill>
            <w14:solidFill>
              <w14:schemeClr w14:val="tx1"/>
            </w14:solidFill>
          </w14:textFill>
        </w:rPr>
        <w:t>4</w:t>
      </w: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color w:val="000000" w:themeColor="text1"/>
          <w:sz w:val="18"/>
          <w:szCs w:val="18"/>
          <w14:textFill>
            <w14:solidFill>
              <w14:schemeClr w14:val="tx1"/>
            </w14:solidFill>
          </w14:textFill>
        </w:rPr>
        <w:t>张意鸣</w:t>
      </w:r>
      <w:bookmarkStart w:id="1" w:name="OLE_LINK13"/>
      <w:r>
        <w:rPr>
          <w:rFonts w:hint="eastAsia"/>
          <w:color w:val="000000" w:themeColor="text1"/>
          <w:sz w:val="18"/>
          <w:szCs w:val="18"/>
          <w14:textFill>
            <w14:solidFill>
              <w14:schemeClr w14:val="tx1"/>
            </w14:solidFill>
          </w14:textFill>
        </w:rPr>
        <w:t>．</w:t>
      </w:r>
      <w:bookmarkEnd w:id="1"/>
      <w:r>
        <w:rPr>
          <w:rFonts w:hint="eastAsia"/>
          <w:color w:val="000000" w:themeColor="text1"/>
          <w:sz w:val="18"/>
          <w:szCs w:val="18"/>
          <w14:textFill>
            <w14:solidFill>
              <w14:schemeClr w14:val="tx1"/>
            </w14:solidFill>
          </w14:textFill>
        </w:rPr>
        <w:t>基于多目标决策的城市交通廊道优化研究</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 中国城市规划学会城市交通规划专业委员会．</w:t>
      </w:r>
      <w:r>
        <w:rPr>
          <w:color w:val="000000" w:themeColor="text1"/>
          <w:sz w:val="18"/>
          <w:szCs w:val="18"/>
          <w14:textFill>
            <w14:solidFill>
              <w14:schemeClr w14:val="tx1"/>
            </w14:solidFill>
          </w14:textFill>
        </w:rPr>
        <w:t> </w:t>
      </w:r>
      <w:r>
        <w:rPr>
          <w:rFonts w:hint="eastAsia"/>
          <w:color w:val="000000" w:themeColor="text1"/>
          <w:sz w:val="18"/>
          <w:szCs w:val="18"/>
          <w14:textFill>
            <w14:solidFill>
              <w14:schemeClr w14:val="tx1"/>
            </w14:solidFill>
          </w14:textFill>
        </w:rPr>
        <w:t>韧性交通：品质与服务：</w:t>
      </w:r>
      <w:r>
        <w:rPr>
          <w:color w:val="000000" w:themeColor="text1"/>
          <w:sz w:val="18"/>
          <w:szCs w:val="18"/>
          <w14:textFill>
            <w14:solidFill>
              <w14:schemeClr w14:val="tx1"/>
            </w14:solidFill>
          </w14:textFill>
        </w:rPr>
        <w:t>2023</w:t>
      </w:r>
      <w:r>
        <w:rPr>
          <w:rFonts w:hint="eastAsia" w:ascii="宋体" w:hAnsi="宋体" w:eastAsia="宋体" w:cs="宋体"/>
          <w:color w:val="000000" w:themeColor="text1"/>
          <w:sz w:val="18"/>
          <w:szCs w:val="18"/>
          <w14:textFill>
            <w14:solidFill>
              <w14:schemeClr w14:val="tx1"/>
            </w14:solidFill>
          </w14:textFill>
        </w:rPr>
        <w:t>年中国城市交通规划年会论文摘要.北京：中国建筑工业出版社，</w:t>
      </w:r>
      <w:r>
        <w:rPr>
          <w:color w:val="000000" w:themeColor="text1"/>
          <w:sz w:val="18"/>
          <w:szCs w:val="18"/>
          <w14:textFill>
            <w14:solidFill>
              <w14:schemeClr w14:val="tx1"/>
            </w14:solidFill>
          </w14:textFill>
        </w:rPr>
        <w:t>2023</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1276-1286</w:t>
      </w:r>
      <w:r>
        <w:rPr>
          <w:rFonts w:hint="eastAsia"/>
          <w:color w:val="000000" w:themeColor="text1"/>
          <w:sz w:val="18"/>
          <w:szCs w:val="18"/>
          <w14:textFill>
            <w14:solidFill>
              <w14:schemeClr w14:val="tx1"/>
            </w14:solidFill>
          </w14:textFill>
        </w:rPr>
        <w:t>．</w:t>
      </w:r>
    </w:p>
    <w:p w14:paraId="1079203E">
      <w:pPr>
        <w:keepNext w:val="0"/>
        <w:keepLines w:val="0"/>
        <w:pageBreakBefore w:val="0"/>
        <w:widowControl w:val="0"/>
        <w:kinsoku/>
        <w:wordWrap/>
        <w:overflowPunct/>
        <w:topLinePunct/>
        <w:autoSpaceDE/>
        <w:autoSpaceDN/>
        <w:bidi w:val="0"/>
        <w:adjustRightInd w:val="0"/>
        <w:snapToGrid w:val="0"/>
        <w:spacing w:line="288" w:lineRule="auto"/>
        <w:ind w:left="442" w:hanging="442"/>
        <w:textAlignment w:val="auto"/>
        <w:rPr>
          <w:rFonts w:hint="eastAsia" w:ascii="宋体" w:hAnsi="宋体" w:eastAsia="宋体" w:cs="宋体"/>
          <w:color w:val="FF0000"/>
          <w:sz w:val="18"/>
          <w:szCs w:val="18"/>
        </w:rPr>
      </w:pPr>
      <w:r>
        <w:rPr>
          <w:rFonts w:hint="eastAsia" w:ascii="宋体" w:hAnsi="宋体" w:eastAsia="宋体" w:cs="宋体"/>
          <w:color w:val="FF0000"/>
          <w:sz w:val="18"/>
          <w:szCs w:val="18"/>
          <w:highlight w:val="yellow"/>
        </w:rPr>
        <w:t>报纸：</w:t>
      </w:r>
      <w:r>
        <w:rPr>
          <w:rFonts w:hint="eastAsia" w:ascii="宋体" w:hAnsi="宋体" w:eastAsia="宋体" w:cs="宋体"/>
          <w:color w:val="FF0000"/>
          <w:sz w:val="18"/>
          <w:szCs w:val="18"/>
        </w:rPr>
        <w:t>作者.文献题名</w:t>
      </w:r>
      <w:r>
        <w:rPr>
          <w:rFonts w:hint="default" w:ascii="Times New Roman" w:hAnsi="Times New Roman" w:eastAsia="宋体" w:cs="Times New Roman"/>
          <w:color w:val="FF0000"/>
          <w:sz w:val="18"/>
          <w:szCs w:val="18"/>
        </w:rPr>
        <w:t>[N]</w:t>
      </w:r>
      <w:r>
        <w:rPr>
          <w:rFonts w:hint="eastAsia" w:ascii="宋体" w:hAnsi="宋体" w:eastAsia="宋体" w:cs="宋体"/>
          <w:color w:val="FF0000"/>
          <w:sz w:val="18"/>
          <w:szCs w:val="18"/>
        </w:rPr>
        <w:t>.报纸名,出版日期</w:t>
      </w:r>
      <w:r>
        <w:rPr>
          <w:rFonts w:hint="eastAsia" w:ascii="宋体" w:hAnsi="宋体" w:cs="宋体"/>
          <w:color w:val="FF0000"/>
          <w:sz w:val="18"/>
          <w:szCs w:val="18"/>
          <w:lang w:eastAsia="zh-CN"/>
        </w:rPr>
        <w:t>（</w:t>
      </w:r>
      <w:r>
        <w:rPr>
          <w:rFonts w:hint="eastAsia" w:ascii="宋体" w:hAnsi="宋体" w:eastAsia="宋体" w:cs="宋体"/>
          <w:color w:val="FF0000"/>
          <w:sz w:val="18"/>
          <w:szCs w:val="18"/>
        </w:rPr>
        <w:t>版次</w:t>
      </w:r>
      <w:r>
        <w:rPr>
          <w:rFonts w:hint="eastAsia" w:ascii="宋体" w:hAnsi="宋体" w:cs="宋体"/>
          <w:color w:val="FF0000"/>
          <w:sz w:val="18"/>
          <w:szCs w:val="18"/>
          <w:lang w:eastAsia="zh-CN"/>
        </w:rPr>
        <w:t>）</w:t>
      </w:r>
      <w:r>
        <w:rPr>
          <w:rFonts w:hint="eastAsia" w:ascii="宋体" w:hAnsi="宋体" w:eastAsia="宋体" w:cs="宋体"/>
          <w:color w:val="FF0000"/>
          <w:sz w:val="18"/>
          <w:szCs w:val="18"/>
        </w:rPr>
        <w:t>.</w:t>
      </w:r>
    </w:p>
    <w:p w14:paraId="6A2FF0E2">
      <w:pPr>
        <w:keepNext w:val="0"/>
        <w:keepLines w:val="0"/>
        <w:pageBreakBefore w:val="0"/>
        <w:widowControl w:val="0"/>
        <w:kinsoku/>
        <w:wordWrap/>
        <w:overflowPunct/>
        <w:topLinePunct/>
        <w:autoSpaceDE/>
        <w:autoSpaceDN/>
        <w:bidi w:val="0"/>
        <w:adjustRightInd w:val="0"/>
        <w:snapToGrid w:val="0"/>
        <w:spacing w:line="288" w:lineRule="auto"/>
        <w:ind w:left="0" w:firstLine="0"/>
        <w:textAlignment w:val="auto"/>
        <w:rPr>
          <w:sz w:val="18"/>
          <w:szCs w:val="18"/>
        </w:rPr>
      </w:pPr>
      <w:r>
        <w:rPr>
          <w:rFonts w:hint="default" w:ascii="Times New Roman" w:hAnsi="Times New Roman" w:cs="Times New Roman"/>
          <w:sz w:val="18"/>
          <w:szCs w:val="18"/>
          <w:lang w:val="en-US" w:eastAsia="zh-CN"/>
        </w:rPr>
        <w:t>[</w:t>
      </w:r>
      <w:r>
        <w:rPr>
          <w:rFonts w:hint="eastAsia" w:cs="Times New Roman"/>
          <w:sz w:val="18"/>
          <w:szCs w:val="18"/>
          <w:lang w:val="en-US" w:eastAsia="zh-CN"/>
        </w:rPr>
        <w:t>5</w:t>
      </w:r>
      <w:r>
        <w:rPr>
          <w:rFonts w:hint="default" w:ascii="Times New Roman" w:hAnsi="Times New Roman" w:cs="Times New Roman"/>
          <w:sz w:val="18"/>
          <w:szCs w:val="18"/>
          <w:lang w:val="en-US" w:eastAsia="zh-CN"/>
        </w:rPr>
        <w:t>]</w:t>
      </w:r>
      <w:r>
        <w:rPr>
          <w:rFonts w:hint="eastAsia" w:ascii="宋体" w:hAnsi="宋体" w:eastAsia="宋体" w:cs="宋体"/>
          <w:sz w:val="18"/>
          <w:szCs w:val="18"/>
        </w:rPr>
        <w:t>潘祚声,王雨生,董永贺.为世界沉管隧道建设贡献“中国方案”</w:t>
      </w:r>
      <w:r>
        <w:rPr>
          <w:rFonts w:hint="default" w:ascii="Times New Roman" w:hAnsi="Times New Roman" w:eastAsia="宋体" w:cs="Times New Roman"/>
          <w:sz w:val="18"/>
          <w:szCs w:val="18"/>
        </w:rPr>
        <w:t>[N]</w:t>
      </w:r>
      <w:r>
        <w:rPr>
          <w:rFonts w:hint="eastAsia" w:ascii="宋体" w:hAnsi="宋体" w:eastAsia="宋体" w:cs="宋体"/>
          <w:sz w:val="18"/>
          <w:szCs w:val="18"/>
        </w:rPr>
        <w:t>.交通建设报,</w:t>
      </w:r>
      <w:r>
        <w:rPr>
          <w:sz w:val="18"/>
          <w:szCs w:val="18"/>
        </w:rPr>
        <w:t>2024-01-18(004).</w:t>
      </w:r>
    </w:p>
    <w:p w14:paraId="0AE714A8">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sz w:val="18"/>
          <w:szCs w:val="18"/>
        </w:rPr>
      </w:pPr>
      <w:r>
        <w:rPr>
          <w:rFonts w:hint="eastAsia" w:ascii="宋体" w:hAnsi="宋体" w:eastAsia="宋体" w:cs="宋体"/>
          <w:color w:val="FF0000"/>
          <w:sz w:val="18"/>
          <w:szCs w:val="18"/>
          <w:highlight w:val="yellow"/>
        </w:rPr>
        <w:t>学位论文：</w:t>
      </w:r>
      <w:r>
        <w:rPr>
          <w:rFonts w:hint="eastAsia" w:ascii="宋体" w:hAnsi="宋体" w:eastAsia="宋体" w:cs="宋体"/>
          <w:color w:val="FF0000"/>
          <w:sz w:val="18"/>
          <w:szCs w:val="18"/>
        </w:rPr>
        <w:t>作者.文献题名</w:t>
      </w:r>
      <w:r>
        <w:rPr>
          <w:rFonts w:hint="default" w:ascii="Times New Roman" w:hAnsi="Times New Roman" w:eastAsia="宋体" w:cs="Times New Roman"/>
          <w:color w:val="FF0000"/>
          <w:sz w:val="18"/>
          <w:szCs w:val="18"/>
        </w:rPr>
        <w:t>[D]</w:t>
      </w:r>
      <w:r>
        <w:rPr>
          <w:rFonts w:hint="eastAsia" w:ascii="宋体" w:hAnsi="宋体" w:eastAsia="宋体" w:cs="宋体"/>
          <w:color w:val="FF0000"/>
          <w:sz w:val="18"/>
          <w:szCs w:val="18"/>
        </w:rPr>
        <w:t>.保存地点:授予单位,写作日期.</w:t>
      </w:r>
    </w:p>
    <w:p w14:paraId="5F319D08">
      <w:pPr>
        <w:pStyle w:val="27"/>
        <w:numPr>
          <w:ilvl w:val="0"/>
          <w:numId w:val="0"/>
        </w:numPr>
        <w:tabs>
          <w:tab w:val="clear" w:pos="562"/>
        </w:tabs>
        <w:topLinePunct/>
        <w:adjustRightInd w:val="0"/>
        <w:snapToGrid w:val="0"/>
        <w:spacing w:line="288" w:lineRule="auto"/>
        <w:ind w:left="0" w:firstLine="0"/>
        <w:rPr>
          <w:rFonts w:hint="eastAsia"/>
          <w:color w:val="000000" w:themeColor="text1"/>
          <w:sz w:val="18"/>
          <w:szCs w:val="18"/>
          <w14:textFill>
            <w14:solidFill>
              <w14:schemeClr w14:val="tx1"/>
            </w14:solidFill>
          </w14:textFill>
        </w:rPr>
      </w:pP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cs="Times New Roman"/>
          <w:b w:val="0"/>
          <w:color w:val="000000" w:themeColor="text1"/>
          <w:kern w:val="2"/>
          <w:sz w:val="18"/>
          <w:szCs w:val="18"/>
          <w:lang w:val="en-US" w:eastAsia="zh-CN" w:bidi="ar-SA"/>
          <w14:textFill>
            <w14:solidFill>
              <w14:schemeClr w14:val="tx1"/>
            </w14:solidFill>
          </w14:textFill>
        </w:rPr>
        <w:t>6</w:t>
      </w:r>
      <w:r>
        <w:rPr>
          <w:rFonts w:hint="eastAsia" w:ascii="Times New Roman" w:hAnsi="Times New Roman" w:eastAsia="宋体" w:cs="Times New Roman"/>
          <w:b w:val="0"/>
          <w:color w:val="000000" w:themeColor="text1"/>
          <w:kern w:val="2"/>
          <w:sz w:val="18"/>
          <w:szCs w:val="18"/>
          <w:lang w:val="en-US" w:eastAsia="zh-CN" w:bidi="ar-SA"/>
          <w14:textFill>
            <w14:solidFill>
              <w14:schemeClr w14:val="tx1"/>
            </w14:solidFill>
          </w14:textFill>
        </w:rPr>
        <w:t>]</w:t>
      </w:r>
      <w:r>
        <w:rPr>
          <w:rFonts w:hint="eastAsia"/>
          <w:color w:val="000000" w:themeColor="text1"/>
          <w:sz w:val="18"/>
          <w:szCs w:val="18"/>
          <w14:textFill>
            <w14:solidFill>
              <w14:schemeClr w14:val="tx1"/>
            </w14:solidFill>
          </w14:textFill>
        </w:rPr>
        <w:t>孙嘉瑞．大中小学思政课法治教育一体化建设研究[D]．扬州：扬州大学，2025．DOI：</w:t>
      </w:r>
    </w:p>
    <w:p w14:paraId="7194F660">
      <w:pPr>
        <w:pStyle w:val="27"/>
        <w:numPr>
          <w:ilvl w:val="0"/>
          <w:numId w:val="0"/>
        </w:numPr>
        <w:tabs>
          <w:tab w:val="clear" w:pos="562"/>
        </w:tabs>
        <w:topLinePunct/>
        <w:adjustRightInd w:val="0"/>
        <w:snapToGrid w:val="0"/>
        <w:spacing w:line="288" w:lineRule="auto"/>
        <w:ind w:left="0" w:firstLine="0"/>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10.27441/d.cnki.gyzdu.2025.001485．</w:t>
      </w:r>
    </w:p>
    <w:p w14:paraId="7217591D">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sz w:val="18"/>
          <w:szCs w:val="18"/>
        </w:rPr>
      </w:pPr>
      <w:r>
        <w:rPr>
          <w:rFonts w:hint="eastAsia" w:ascii="宋体" w:hAnsi="宋体" w:eastAsia="宋体" w:cs="宋体"/>
          <w:color w:val="FF0000"/>
          <w:sz w:val="18"/>
          <w:szCs w:val="18"/>
          <w:highlight w:val="yellow"/>
        </w:rPr>
        <w:t>中国标准：</w:t>
      </w:r>
      <w:r>
        <w:rPr>
          <w:rFonts w:hint="eastAsia" w:ascii="宋体" w:hAnsi="宋体" w:eastAsia="宋体" w:cs="宋体"/>
          <w:color w:val="FF0000"/>
          <w:sz w:val="18"/>
          <w:szCs w:val="18"/>
        </w:rPr>
        <w:t>标准名:标准编号</w:t>
      </w:r>
      <w:r>
        <w:rPr>
          <w:rFonts w:hint="default" w:ascii="Times New Roman" w:hAnsi="Times New Roman" w:eastAsia="宋体" w:cs="Times New Roman"/>
          <w:color w:val="FF0000"/>
          <w:sz w:val="18"/>
          <w:szCs w:val="18"/>
        </w:rPr>
        <w:t>[S]</w:t>
      </w:r>
      <w:r>
        <w:rPr>
          <w:rFonts w:hint="eastAsia" w:ascii="宋体" w:hAnsi="宋体" w:eastAsia="宋体" w:cs="宋体"/>
          <w:color w:val="FF0000"/>
          <w:sz w:val="18"/>
          <w:szCs w:val="18"/>
        </w:rPr>
        <w:t>.出版地:出版社,出版年份:起止页码.</w:t>
      </w:r>
    </w:p>
    <w:p w14:paraId="0C689656">
      <w:pPr>
        <w:keepNext w:val="0"/>
        <w:keepLines w:val="0"/>
        <w:pageBreakBefore w:val="0"/>
        <w:widowControl w:val="0"/>
        <w:kinsoku/>
        <w:wordWrap/>
        <w:overflowPunct/>
        <w:topLinePunct/>
        <w:autoSpaceDE/>
        <w:autoSpaceDN/>
        <w:bidi w:val="0"/>
        <w:adjustRightInd w:val="0"/>
        <w:snapToGrid w:val="0"/>
        <w:spacing w:line="288" w:lineRule="auto"/>
        <w:ind w:left="442" w:hanging="442"/>
        <w:textAlignment w:val="auto"/>
        <w:rPr>
          <w:sz w:val="18"/>
          <w:szCs w:val="18"/>
        </w:rPr>
      </w:pPr>
      <w:r>
        <w:rPr>
          <w:sz w:val="18"/>
          <w:szCs w:val="18"/>
        </w:rPr>
        <w:t>[</w:t>
      </w:r>
      <w:r>
        <w:rPr>
          <w:rFonts w:hint="eastAsia"/>
          <w:sz w:val="18"/>
          <w:szCs w:val="18"/>
          <w:lang w:val="en-US" w:eastAsia="zh-CN"/>
        </w:rPr>
        <w:t>7</w:t>
      </w:r>
      <w:r>
        <w:rPr>
          <w:sz w:val="18"/>
          <w:szCs w:val="18"/>
        </w:rPr>
        <w:t>]</w:t>
      </w:r>
      <w:r>
        <w:rPr>
          <w:rFonts w:hint="eastAsia"/>
          <w:sz w:val="18"/>
          <w:szCs w:val="18"/>
        </w:rPr>
        <w:t>高速铁路设计规范：</w:t>
      </w:r>
      <w:r>
        <w:rPr>
          <w:sz w:val="18"/>
          <w:szCs w:val="18"/>
        </w:rPr>
        <w:t>TB10621-2014[S]</w:t>
      </w:r>
      <w:r>
        <w:rPr>
          <w:rFonts w:hint="eastAsia"/>
          <w:sz w:val="18"/>
          <w:szCs w:val="18"/>
        </w:rPr>
        <w:t>．北京：中国铁道出版社，</w:t>
      </w:r>
      <w:r>
        <w:rPr>
          <w:sz w:val="18"/>
          <w:szCs w:val="18"/>
        </w:rPr>
        <w:t>2014</w:t>
      </w:r>
      <w:r>
        <w:rPr>
          <w:rFonts w:hint="eastAsia"/>
          <w:sz w:val="18"/>
          <w:szCs w:val="18"/>
        </w:rPr>
        <w:t>：</w:t>
      </w:r>
      <w:r>
        <w:rPr>
          <w:sz w:val="18"/>
          <w:szCs w:val="18"/>
        </w:rPr>
        <w:t>23-24.</w:t>
      </w:r>
    </w:p>
    <w:p w14:paraId="056D1E8D">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eastAsia" w:ascii="宋体" w:hAnsi="宋体" w:eastAsia="宋体" w:cs="宋体"/>
          <w:sz w:val="18"/>
          <w:szCs w:val="18"/>
        </w:rPr>
      </w:pPr>
      <w:r>
        <w:rPr>
          <w:rFonts w:hint="eastAsia" w:ascii="宋体" w:hAnsi="宋体" w:eastAsia="宋体" w:cs="宋体"/>
          <w:color w:val="FF0000"/>
          <w:sz w:val="18"/>
          <w:szCs w:val="18"/>
          <w:highlight w:val="yellow"/>
        </w:rPr>
        <w:t>电子文献：</w:t>
      </w:r>
      <w:r>
        <w:rPr>
          <w:rFonts w:hint="eastAsia" w:ascii="宋体" w:hAnsi="宋体" w:eastAsia="宋体" w:cs="宋体"/>
          <w:color w:val="FF0000"/>
          <w:sz w:val="18"/>
          <w:szCs w:val="18"/>
        </w:rPr>
        <w:t>作者.文献题名[电子文献类型标志/电子文献载体标志].（更新或修改日期）[引用日期] .获取和访问路径.</w:t>
      </w:r>
    </w:p>
    <w:p w14:paraId="03D70C36">
      <w:pPr>
        <w:keepNext w:val="0"/>
        <w:keepLines w:val="0"/>
        <w:pageBreakBefore w:val="0"/>
        <w:widowControl w:val="0"/>
        <w:kinsoku/>
        <w:wordWrap/>
        <w:overflowPunct/>
        <w:topLinePunct/>
        <w:autoSpaceDE/>
        <w:autoSpaceDN/>
        <w:bidi w:val="0"/>
        <w:adjustRightInd w:val="0"/>
        <w:snapToGrid w:val="0"/>
        <w:spacing w:line="288" w:lineRule="auto"/>
        <w:ind w:left="0" w:firstLine="0"/>
        <w:textAlignment w:val="auto"/>
        <w:rPr>
          <w:sz w:val="18"/>
          <w:szCs w:val="18"/>
        </w:rPr>
      </w:pPr>
      <w:r>
        <w:rPr>
          <w:sz w:val="18"/>
          <w:szCs w:val="18"/>
        </w:rPr>
        <w:t>[</w:t>
      </w:r>
      <w:r>
        <w:rPr>
          <w:rFonts w:hint="eastAsia"/>
          <w:sz w:val="18"/>
          <w:szCs w:val="18"/>
          <w:lang w:val="en-US" w:eastAsia="zh-CN"/>
        </w:rPr>
        <w:t>8</w:t>
      </w:r>
      <w:r>
        <w:rPr>
          <w:sz w:val="18"/>
          <w:szCs w:val="18"/>
        </w:rPr>
        <w:t>]</w:t>
      </w:r>
      <w:r>
        <w:rPr>
          <w:rFonts w:hint="eastAsia"/>
          <w:sz w:val="18"/>
          <w:szCs w:val="18"/>
        </w:rPr>
        <w:t>郑道雄，陈洁锐．地下停车场采用</w:t>
      </w:r>
      <w:r>
        <w:rPr>
          <w:sz w:val="18"/>
          <w:szCs w:val="18"/>
        </w:rPr>
        <w:t>BOT</w:t>
      </w:r>
      <w:r>
        <w:rPr>
          <w:rFonts w:hint="eastAsia"/>
          <w:sz w:val="18"/>
          <w:szCs w:val="18"/>
        </w:rPr>
        <w:t>建设模式的实例分析</w:t>
      </w:r>
      <w:r>
        <w:rPr>
          <w:sz w:val="18"/>
          <w:szCs w:val="18"/>
        </w:rPr>
        <w:t>[EB/OL]</w:t>
      </w:r>
      <w:r>
        <w:rPr>
          <w:rFonts w:hint="eastAsia"/>
          <w:sz w:val="18"/>
          <w:szCs w:val="18"/>
        </w:rPr>
        <w:t>．（</w:t>
      </w:r>
      <w:r>
        <w:rPr>
          <w:sz w:val="18"/>
          <w:szCs w:val="18"/>
        </w:rPr>
        <w:t>2012-10-23</w:t>
      </w:r>
      <w:r>
        <w:rPr>
          <w:rFonts w:hint="eastAsia"/>
          <w:sz w:val="18"/>
          <w:szCs w:val="18"/>
        </w:rPr>
        <w:t>）</w:t>
      </w:r>
      <w:r>
        <w:rPr>
          <w:sz w:val="18"/>
          <w:szCs w:val="18"/>
        </w:rPr>
        <w:t>[2016-07-26]</w:t>
      </w:r>
      <w:r>
        <w:rPr>
          <w:rFonts w:hint="eastAsia"/>
          <w:sz w:val="18"/>
          <w:szCs w:val="18"/>
        </w:rPr>
        <w:t>．</w:t>
      </w:r>
      <w:r>
        <w:rPr>
          <w:sz w:val="18"/>
          <w:szCs w:val="18"/>
        </w:rPr>
        <w:t>http://d.g.wanfangdata.com.cn/Periodical_csjsllyj201122443.aspx.</w:t>
      </w:r>
    </w:p>
    <w:p w14:paraId="2532515A">
      <w:pPr>
        <w:keepNext w:val="0"/>
        <w:keepLines w:val="0"/>
        <w:pageBreakBefore w:val="0"/>
        <w:widowControl w:val="0"/>
        <w:kinsoku/>
        <w:wordWrap/>
        <w:overflowPunct/>
        <w:autoSpaceDE/>
        <w:autoSpaceDN/>
        <w:bidi w:val="0"/>
        <w:adjustRightInd w:val="0"/>
        <w:snapToGrid w:val="0"/>
        <w:spacing w:line="288" w:lineRule="auto"/>
        <w:textAlignment w:val="auto"/>
        <w:rPr>
          <w:rFonts w:hint="eastAsia" w:ascii="宋体" w:hAnsi="宋体" w:eastAsia="宋体" w:cs="宋体"/>
          <w:sz w:val="18"/>
          <w:szCs w:val="18"/>
        </w:rPr>
      </w:pPr>
      <w:r>
        <w:rPr>
          <w:rFonts w:hint="eastAsia" w:ascii="宋体" w:hAnsi="宋体" w:eastAsia="宋体" w:cs="宋体"/>
          <w:color w:val="FF0000"/>
          <w:sz w:val="18"/>
          <w:szCs w:val="18"/>
          <w:highlight w:val="yellow"/>
        </w:rPr>
        <w:t>报告：</w:t>
      </w:r>
      <w:r>
        <w:rPr>
          <w:rFonts w:hint="eastAsia" w:ascii="宋体" w:hAnsi="宋体" w:eastAsia="宋体" w:cs="宋体"/>
          <w:color w:val="FF0000"/>
          <w:sz w:val="18"/>
          <w:szCs w:val="18"/>
        </w:rPr>
        <w:t>作者.题名[</w:t>
      </w:r>
      <w:r>
        <w:rPr>
          <w:rFonts w:hint="default" w:ascii="Times New Roman" w:hAnsi="Times New Roman" w:eastAsia="宋体" w:cs="Times New Roman"/>
          <w:color w:val="FF0000"/>
          <w:sz w:val="18"/>
          <w:szCs w:val="18"/>
        </w:rPr>
        <w:t>R</w:t>
      </w:r>
      <w:r>
        <w:rPr>
          <w:rFonts w:hint="eastAsia" w:ascii="宋体" w:hAnsi="宋体" w:eastAsia="宋体" w:cs="宋体"/>
          <w:color w:val="FF0000"/>
          <w:sz w:val="18"/>
          <w:szCs w:val="18"/>
        </w:rPr>
        <w:t>].出版地:出版者,年份:起止页码.</w:t>
      </w:r>
    </w:p>
    <w:p w14:paraId="45CA7A7E">
      <w:pPr>
        <w:keepNext w:val="0"/>
        <w:keepLines w:val="0"/>
        <w:pageBreakBefore w:val="0"/>
        <w:widowControl w:val="0"/>
        <w:kinsoku/>
        <w:wordWrap/>
        <w:overflowPunct/>
        <w:topLinePunct/>
        <w:autoSpaceDE/>
        <w:autoSpaceDN/>
        <w:bidi w:val="0"/>
        <w:adjustRightInd w:val="0"/>
        <w:snapToGrid w:val="0"/>
        <w:spacing w:line="288" w:lineRule="auto"/>
        <w:ind w:left="0" w:firstLine="0"/>
        <w:textAlignment w:val="auto"/>
        <w:rPr>
          <w:sz w:val="18"/>
          <w:szCs w:val="18"/>
        </w:rPr>
      </w:pPr>
      <w:r>
        <w:rPr>
          <w:sz w:val="18"/>
          <w:szCs w:val="18"/>
        </w:rPr>
        <w:t>[</w:t>
      </w:r>
      <w:r>
        <w:rPr>
          <w:rFonts w:hint="eastAsia"/>
          <w:sz w:val="18"/>
          <w:szCs w:val="18"/>
          <w:lang w:val="en-US" w:eastAsia="zh-CN"/>
        </w:rPr>
        <w:t>9</w:t>
      </w:r>
      <w:r>
        <w:rPr>
          <w:sz w:val="18"/>
          <w:szCs w:val="18"/>
        </w:rPr>
        <w:t>]</w:t>
      </w:r>
      <w:r>
        <w:rPr>
          <w:rFonts w:hint="eastAsia"/>
          <w:color w:val="000000"/>
          <w:sz w:val="18"/>
          <w:szCs w:val="18"/>
        </w:rPr>
        <w:t>肖宏，范爱红．中国英文学术期刊国际国内引证报告（2017）</w:t>
      </w:r>
      <w:r>
        <w:rPr>
          <w:color w:val="000000"/>
          <w:sz w:val="18"/>
          <w:szCs w:val="18"/>
        </w:rPr>
        <w:t>[</w:t>
      </w:r>
      <w:r>
        <w:rPr>
          <w:rFonts w:hint="eastAsia"/>
          <w:color w:val="000000"/>
          <w:sz w:val="18"/>
          <w:szCs w:val="18"/>
        </w:rPr>
        <w:t>R</w:t>
      </w:r>
      <w:r>
        <w:rPr>
          <w:color w:val="000000"/>
          <w:sz w:val="18"/>
          <w:szCs w:val="18"/>
        </w:rPr>
        <w:t>]</w:t>
      </w:r>
      <w:r>
        <w:rPr>
          <w:rFonts w:hint="eastAsia"/>
          <w:color w:val="000000"/>
          <w:sz w:val="18"/>
          <w:szCs w:val="18"/>
        </w:rPr>
        <w:t>．北京：《中国学术期刊（光盘版）》电子杂志社有限公司，2017.</w:t>
      </w:r>
    </w:p>
    <w:p w14:paraId="300D8437">
      <w:pPr>
        <w:keepNext w:val="0"/>
        <w:keepLines w:val="0"/>
        <w:pageBreakBefore w:val="0"/>
        <w:widowControl w:val="0"/>
        <w:kinsoku/>
        <w:wordWrap/>
        <w:overflowPunct/>
        <w:autoSpaceDE/>
        <w:autoSpaceDN/>
        <w:bidi w:val="0"/>
        <w:adjustRightInd w:val="0"/>
        <w:snapToGrid w:val="0"/>
        <w:spacing w:line="288" w:lineRule="auto"/>
        <w:textAlignment w:val="auto"/>
        <w:rPr>
          <w:rFonts w:hint="eastAsia" w:ascii="宋体" w:hAnsi="宋体" w:eastAsia="宋体" w:cs="宋体"/>
          <w:sz w:val="18"/>
          <w:szCs w:val="18"/>
        </w:rPr>
      </w:pPr>
      <w:r>
        <w:rPr>
          <w:rFonts w:hint="eastAsia" w:ascii="宋体" w:hAnsi="宋体" w:eastAsia="宋体" w:cs="宋体"/>
          <w:color w:val="FF0000"/>
          <w:sz w:val="18"/>
          <w:szCs w:val="18"/>
          <w:highlight w:val="yellow"/>
        </w:rPr>
        <w:t>专利：</w:t>
      </w:r>
      <w:r>
        <w:rPr>
          <w:rFonts w:hint="eastAsia" w:ascii="宋体" w:hAnsi="宋体" w:eastAsia="宋体" w:cs="宋体"/>
          <w:color w:val="FF0000"/>
          <w:sz w:val="18"/>
          <w:szCs w:val="18"/>
        </w:rPr>
        <w:t>专利申请者或所有者.专利题名:专利号[</w:t>
      </w:r>
      <w:r>
        <w:rPr>
          <w:rFonts w:hint="default" w:ascii="Times New Roman" w:hAnsi="Times New Roman" w:eastAsia="宋体" w:cs="Times New Roman"/>
          <w:color w:val="FF0000"/>
          <w:sz w:val="18"/>
          <w:szCs w:val="18"/>
        </w:rPr>
        <w:t>P</w:t>
      </w:r>
      <w:r>
        <w:rPr>
          <w:rFonts w:hint="eastAsia" w:ascii="宋体" w:hAnsi="宋体" w:eastAsia="宋体" w:cs="宋体"/>
          <w:color w:val="FF0000"/>
          <w:sz w:val="18"/>
          <w:szCs w:val="18"/>
        </w:rPr>
        <w:t>].公告日期或公开日期.</w:t>
      </w:r>
    </w:p>
    <w:p w14:paraId="311BF6E3">
      <w:pPr>
        <w:keepNext w:val="0"/>
        <w:keepLines w:val="0"/>
        <w:pageBreakBefore w:val="0"/>
        <w:widowControl w:val="0"/>
        <w:kinsoku/>
        <w:wordWrap/>
        <w:overflowPunct/>
        <w:topLinePunct/>
        <w:autoSpaceDE/>
        <w:autoSpaceDN/>
        <w:bidi w:val="0"/>
        <w:adjustRightInd w:val="0"/>
        <w:snapToGrid w:val="0"/>
        <w:spacing w:line="288" w:lineRule="auto"/>
        <w:ind w:left="442" w:hanging="442"/>
        <w:textAlignment w:val="auto"/>
        <w:rPr>
          <w:rStyle w:val="20"/>
          <w:rFonts w:hint="eastAsia"/>
          <w:b/>
          <w:bCs/>
          <w:sz w:val="18"/>
          <w:szCs w:val="18"/>
          <w:lang w:val="en-US" w:eastAsia="zh-CN"/>
        </w:rPr>
      </w:pPr>
      <w:r>
        <w:rPr>
          <w:sz w:val="18"/>
          <w:szCs w:val="18"/>
        </w:rPr>
        <w:t>[</w:t>
      </w:r>
      <w:r>
        <w:rPr>
          <w:rFonts w:hint="eastAsia"/>
          <w:sz w:val="18"/>
          <w:szCs w:val="18"/>
        </w:rPr>
        <w:t>1</w:t>
      </w:r>
      <w:r>
        <w:rPr>
          <w:rFonts w:hint="eastAsia"/>
          <w:sz w:val="18"/>
          <w:szCs w:val="18"/>
          <w:lang w:val="en-US" w:eastAsia="zh-CN"/>
        </w:rPr>
        <w:t>0</w:t>
      </w:r>
      <w:r>
        <w:rPr>
          <w:sz w:val="18"/>
          <w:szCs w:val="18"/>
        </w:rPr>
        <w:t>]</w:t>
      </w:r>
      <w:r>
        <w:rPr>
          <w:rFonts w:hint="eastAsia"/>
          <w:color w:val="000000"/>
          <w:sz w:val="18"/>
          <w:szCs w:val="18"/>
        </w:rPr>
        <w:t>邓一刚．全智能节电器：200610171314.3[P]．2006-12-13．</w:t>
      </w:r>
    </w:p>
    <w:p w14:paraId="7969B2E4">
      <w:pPr>
        <w:keepNext w:val="0"/>
        <w:keepLines w:val="0"/>
        <w:pageBreakBefore w:val="0"/>
        <w:widowControl w:val="0"/>
        <w:kinsoku/>
        <w:wordWrap/>
        <w:overflowPunct/>
        <w:topLinePunct/>
        <w:autoSpaceDE/>
        <w:autoSpaceDN/>
        <w:bidi w:val="0"/>
        <w:adjustRightInd w:val="0"/>
        <w:snapToGrid w:val="0"/>
        <w:spacing w:line="288" w:lineRule="auto"/>
        <w:textAlignment w:val="auto"/>
        <w:rPr>
          <w:rFonts w:hint="default" w:ascii="宋体" w:hAnsi="宋体" w:eastAsia="宋体" w:cs="宋体"/>
          <w:color w:val="FF0000"/>
          <w:sz w:val="18"/>
          <w:szCs w:val="18"/>
          <w:highlight w:val="yellow"/>
          <w:lang w:val="en-US" w:eastAsia="zh-CN"/>
        </w:rPr>
      </w:pPr>
      <w:r>
        <w:rPr>
          <w:rFonts w:hint="eastAsia" w:ascii="宋体" w:hAnsi="宋体" w:eastAsia="宋体" w:cs="宋体"/>
          <w:color w:val="FF0000"/>
          <w:sz w:val="18"/>
          <w:szCs w:val="18"/>
          <w:highlight w:val="yellow"/>
          <w:lang w:val="en-US" w:eastAsia="zh-CN"/>
        </w:rPr>
        <w:t>英文文献</w:t>
      </w:r>
      <w:r>
        <w:rPr>
          <w:rFonts w:hint="eastAsia" w:ascii="宋体" w:hAnsi="宋体" w:cs="宋体"/>
          <w:color w:val="FF0000"/>
          <w:sz w:val="18"/>
          <w:szCs w:val="18"/>
          <w:highlight w:val="yellow"/>
          <w:lang w:val="en-US" w:eastAsia="zh-CN"/>
        </w:rPr>
        <w:t>:英文文献著录规则与中文一致</w:t>
      </w:r>
    </w:p>
    <w:p w14:paraId="527E1328">
      <w:pPr>
        <w:pStyle w:val="27"/>
        <w:keepNext w:val="0"/>
        <w:keepLines w:val="0"/>
        <w:pageBreakBefore w:val="0"/>
        <w:widowControl w:val="0"/>
        <w:numPr>
          <w:ilvl w:val="0"/>
          <w:numId w:val="0"/>
        </w:numPr>
        <w:tabs>
          <w:tab w:val="clear" w:pos="562"/>
        </w:tabs>
        <w:kinsoku/>
        <w:wordWrap/>
        <w:overflowPunct/>
        <w:topLinePunct/>
        <w:autoSpaceDE/>
        <w:autoSpaceDN/>
        <w:bidi w:val="0"/>
        <w:adjustRightInd w:val="0"/>
        <w:snapToGrid w:val="0"/>
        <w:spacing w:line="288" w:lineRule="auto"/>
        <w:ind w:left="0" w:leftChars="0" w:firstLine="0" w:firstLineChars="0"/>
        <w:textAlignment w:val="auto"/>
        <w:rPr>
          <w:color w:val="000000" w:themeColor="text1"/>
          <w:sz w:val="18"/>
          <w:szCs w:val="18"/>
          <w14:textFill>
            <w14:solidFill>
              <w14:schemeClr w14:val="tx1"/>
            </w14:solidFill>
          </w14:textFill>
        </w:rPr>
      </w:pPr>
      <w: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t>[</w:t>
      </w:r>
      <w:r>
        <w:rPr>
          <w:rFonts w:hint="eastAsia" w:cs="Times New Roman"/>
          <w:color w:val="000000" w:themeColor="text1"/>
          <w:kern w:val="2"/>
          <w:sz w:val="18"/>
          <w:szCs w:val="18"/>
          <w:lang w:val="en-US" w:eastAsia="zh-CN" w:bidi="ar-SA"/>
          <w14:textFill>
            <w14:solidFill>
              <w14:schemeClr w14:val="tx1"/>
            </w14:solidFill>
          </w14:textFill>
        </w:rPr>
        <w:t>11</w:t>
      </w:r>
      <w: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t>]</w:t>
      </w:r>
      <w:r>
        <w:rPr>
          <w:color w:val="000000" w:themeColor="text1"/>
          <w:sz w:val="18"/>
          <w:szCs w:val="18"/>
          <w14:textFill>
            <w14:solidFill>
              <w14:schemeClr w14:val="tx1"/>
            </w14:solidFill>
          </w14:textFill>
        </w:rPr>
        <w:t>Qian Y, Wang P, Xie K, et al. Development and application of a calculation method for the equivalent conicity in high-speed turnout zones</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[J]. Vehicle System Dynamics, 2022, 60(1)</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 xml:space="preserve"> 96-113.</w:t>
      </w:r>
    </w:p>
    <w:p w14:paraId="0F182F52">
      <w:pPr>
        <w:keepNext w:val="0"/>
        <w:keepLines w:val="0"/>
        <w:pageBreakBefore w:val="0"/>
        <w:widowControl w:val="0"/>
        <w:kinsoku/>
        <w:wordWrap/>
        <w:overflowPunct/>
        <w:autoSpaceDE/>
        <w:autoSpaceDN/>
        <w:bidi w:val="0"/>
        <w:adjustRightInd w:val="0"/>
        <w:snapToGrid w:val="0"/>
        <w:spacing w:line="288" w:lineRule="auto"/>
        <w:textAlignment w:val="auto"/>
        <w:rPr>
          <w:rFonts w:hint="eastAsia" w:ascii="宋体" w:hAnsi="宋体"/>
          <w:b/>
          <w:bCs/>
          <w:sz w:val="18"/>
          <w:szCs w:val="21"/>
        </w:rPr>
      </w:pPr>
    </w:p>
    <w:p w14:paraId="29347BFB">
      <w:pPr>
        <w:keepNext w:val="0"/>
        <w:keepLines w:val="0"/>
        <w:pageBreakBefore w:val="0"/>
        <w:widowControl w:val="0"/>
        <w:kinsoku/>
        <w:wordWrap/>
        <w:overflowPunct/>
        <w:autoSpaceDE/>
        <w:autoSpaceDN/>
        <w:bidi w:val="0"/>
        <w:adjustRightInd w:val="0"/>
        <w:snapToGrid w:val="0"/>
        <w:spacing w:line="288" w:lineRule="auto"/>
        <w:textAlignment w:val="auto"/>
        <w:rPr>
          <w:rFonts w:hint="eastAsia" w:ascii="宋体" w:hAnsi="宋体"/>
          <w:b/>
          <w:bCs/>
          <w:sz w:val="18"/>
          <w:szCs w:val="21"/>
        </w:rPr>
      </w:pPr>
    </w:p>
    <w:p w14:paraId="064E8823">
      <w:pPr>
        <w:keepNext w:val="0"/>
        <w:keepLines w:val="0"/>
        <w:pageBreakBefore w:val="0"/>
        <w:widowControl w:val="0"/>
        <w:kinsoku/>
        <w:wordWrap/>
        <w:overflowPunct/>
        <w:autoSpaceDE/>
        <w:autoSpaceDN/>
        <w:bidi w:val="0"/>
        <w:adjustRightInd w:val="0"/>
        <w:snapToGrid w:val="0"/>
        <w:spacing w:line="288" w:lineRule="auto"/>
        <w:textAlignment w:val="auto"/>
        <w:rPr>
          <w:rFonts w:hint="eastAsia" w:ascii="宋体" w:hAnsi="宋体"/>
          <w:b/>
          <w:bCs/>
          <w:sz w:val="18"/>
          <w:szCs w:val="21"/>
        </w:rPr>
      </w:pPr>
    </w:p>
    <w:p w14:paraId="3B945ABB">
      <w:pPr>
        <w:keepNext w:val="0"/>
        <w:keepLines w:val="0"/>
        <w:pageBreakBefore w:val="0"/>
        <w:widowControl w:val="0"/>
        <w:kinsoku/>
        <w:wordWrap/>
        <w:overflowPunct/>
        <w:autoSpaceDE/>
        <w:autoSpaceDN/>
        <w:bidi w:val="0"/>
        <w:adjustRightInd w:val="0"/>
        <w:snapToGrid w:val="0"/>
        <w:spacing w:line="288" w:lineRule="auto"/>
        <w:jc w:val="center"/>
        <w:textAlignment w:val="auto"/>
        <w:rPr>
          <w:b/>
          <w:bCs/>
          <w:sz w:val="24"/>
        </w:rPr>
      </w:pPr>
      <w:r>
        <w:rPr>
          <w:rFonts w:hint="eastAsia"/>
          <w:b/>
          <w:bCs/>
          <w:sz w:val="24"/>
        </w:rPr>
        <w:t>Title Title</w:t>
      </w:r>
      <w:r>
        <w:rPr>
          <w:rFonts w:hint="eastAsia"/>
          <w:color w:val="FF0000"/>
        </w:rPr>
        <w:t>(小四，Times New Roman加粗</w:t>
      </w:r>
      <w:r>
        <w:rPr>
          <w:rFonts w:hint="eastAsia"/>
          <w:color w:val="FF0000"/>
          <w:lang w:eastAsia="zh-CN"/>
        </w:rPr>
        <w:t>，</w:t>
      </w:r>
      <w:r>
        <w:rPr>
          <w:rFonts w:hint="eastAsia"/>
          <w:color w:val="FF0000"/>
          <w:lang w:val="en-US" w:eastAsia="zh-CN"/>
        </w:rPr>
        <w:t>居中</w:t>
      </w:r>
      <w:r>
        <w:rPr>
          <w:rFonts w:hint="eastAsia"/>
          <w:color w:val="FF0000"/>
        </w:rPr>
        <w:t>)</w:t>
      </w:r>
    </w:p>
    <w:p w14:paraId="22F15DD1">
      <w:pPr>
        <w:keepNext w:val="0"/>
        <w:keepLines w:val="0"/>
        <w:pageBreakBefore w:val="0"/>
        <w:widowControl w:val="0"/>
        <w:kinsoku/>
        <w:wordWrap/>
        <w:overflowPunct/>
        <w:autoSpaceDE/>
        <w:autoSpaceDN/>
        <w:bidi w:val="0"/>
        <w:adjustRightInd w:val="0"/>
        <w:snapToGrid w:val="0"/>
        <w:spacing w:line="288" w:lineRule="auto"/>
        <w:jc w:val="center"/>
        <w:textAlignment w:val="auto"/>
        <w:rPr>
          <w:sz w:val="24"/>
        </w:rPr>
      </w:pPr>
    </w:p>
    <w:p w14:paraId="45699CF0">
      <w:pPr>
        <w:keepNext w:val="0"/>
        <w:keepLines w:val="0"/>
        <w:pageBreakBefore w:val="0"/>
        <w:widowControl w:val="0"/>
        <w:kinsoku/>
        <w:wordWrap/>
        <w:overflowPunct/>
        <w:autoSpaceDE/>
        <w:autoSpaceDN/>
        <w:bidi w:val="0"/>
        <w:adjustRightInd w:val="0"/>
        <w:snapToGrid w:val="0"/>
        <w:spacing w:line="288" w:lineRule="auto"/>
        <w:jc w:val="center"/>
        <w:textAlignment w:val="auto"/>
        <w:rPr>
          <w:sz w:val="18"/>
          <w:szCs w:val="18"/>
          <w:highlight w:val="none"/>
        </w:rPr>
      </w:pPr>
      <w:r>
        <w:rPr>
          <w:sz w:val="24"/>
          <w:highlight w:val="none"/>
        </w:rPr>
        <w:t>ZHANG San</w:t>
      </w:r>
      <w:r>
        <w:rPr>
          <w:sz w:val="24"/>
          <w:highlight w:val="none"/>
          <w:vertAlign w:val="superscript"/>
        </w:rPr>
        <w:t>1</w:t>
      </w:r>
      <w:r>
        <w:rPr>
          <w:sz w:val="22"/>
          <w:szCs w:val="22"/>
          <w:highlight w:val="none"/>
        </w:rPr>
        <w:t>,</w:t>
      </w:r>
      <w:r>
        <w:rPr>
          <w:rFonts w:hint="eastAsia"/>
          <w:sz w:val="24"/>
          <w:highlight w:val="none"/>
        </w:rPr>
        <w:t xml:space="preserve"> </w:t>
      </w:r>
      <w:r>
        <w:rPr>
          <w:sz w:val="24"/>
          <w:highlight w:val="none"/>
        </w:rPr>
        <w:t>LI Si</w:t>
      </w:r>
      <w:r>
        <w:rPr>
          <w:sz w:val="24"/>
          <w:highlight w:val="none"/>
          <w:vertAlign w:val="superscript"/>
        </w:rPr>
        <w:t>2</w:t>
      </w:r>
      <w:r>
        <w:rPr>
          <w:rFonts w:hint="eastAsia"/>
          <w:color w:val="FF0000"/>
          <w:highlight w:val="none"/>
        </w:rPr>
        <w:t>(</w:t>
      </w:r>
      <w:r>
        <w:rPr>
          <w:rFonts w:hint="eastAsia"/>
          <w:color w:val="FF0000"/>
          <w:highlight w:val="none"/>
          <w:lang w:val="en-US" w:eastAsia="zh-CN"/>
        </w:rPr>
        <w:t>居中，</w:t>
      </w:r>
      <w:r>
        <w:rPr>
          <w:rFonts w:hint="eastAsia"/>
          <w:color w:val="FF0000"/>
          <w:highlight w:val="none"/>
        </w:rPr>
        <w:t>小四，姓大写，名首字母大写)</w:t>
      </w:r>
    </w:p>
    <w:p w14:paraId="4C8E1511">
      <w:pPr>
        <w:keepNext w:val="0"/>
        <w:keepLines w:val="0"/>
        <w:pageBreakBefore w:val="0"/>
        <w:widowControl w:val="0"/>
        <w:numPr>
          <w:ilvl w:val="0"/>
          <w:numId w:val="0"/>
        </w:numPr>
        <w:kinsoku/>
        <w:wordWrap/>
        <w:overflowPunct/>
        <w:autoSpaceDE/>
        <w:autoSpaceDN/>
        <w:bidi w:val="0"/>
        <w:adjustRightInd w:val="0"/>
        <w:snapToGrid w:val="0"/>
        <w:spacing w:line="288" w:lineRule="auto"/>
        <w:jc w:val="center"/>
        <w:textAlignment w:val="auto"/>
        <w:rPr>
          <w:color w:val="FF0000"/>
          <w:szCs w:val="21"/>
        </w:rPr>
      </w:pPr>
      <w:r>
        <w:rPr>
          <w:rFonts w:hint="default" w:ascii="Times New Roman" w:hAnsi="Times New Roman" w:cs="Times New Roman"/>
          <w:color w:val="000000" w:themeColor="text1"/>
          <w:sz w:val="18"/>
          <w:szCs w:val="18"/>
          <w:lang w:val="en-US" w:eastAsia="zh-CN"/>
          <w14:textFill>
            <w14:solidFill>
              <w14:schemeClr w14:val="tx1"/>
            </w14:solidFill>
          </w14:textFill>
        </w:rPr>
        <w:t>（1.</w:t>
      </w:r>
      <w:r>
        <w:rPr>
          <w:rFonts w:hint="default" w:ascii="Times New Roman" w:hAnsi="Times New Roman" w:cs="Times New Roman"/>
          <w:color w:val="000000" w:themeColor="text1"/>
          <w:sz w:val="18"/>
          <w:szCs w:val="18"/>
          <w14:textFill>
            <w14:solidFill>
              <w14:schemeClr w14:val="tx1"/>
            </w14:solidFill>
          </w14:textFill>
        </w:rPr>
        <w:t>Modern Business Technology College,</w:t>
      </w:r>
      <w:r>
        <w:rPr>
          <w:rFonts w:hint="eastAsia" w:cs="Times New Roman"/>
          <w:color w:val="000000" w:themeColor="text1"/>
          <w:sz w:val="18"/>
          <w:szCs w:val="18"/>
          <w:lang w:val="en-US" w:eastAsia="zh-CN"/>
          <w14:textFill>
            <w14:solidFill>
              <w14:schemeClr w14:val="tx1"/>
            </w14:solidFill>
          </w14:textFill>
        </w:rPr>
        <w:t>Wuhan</w:t>
      </w:r>
      <w:r>
        <w:rPr>
          <w:rFonts w:hint="default" w:ascii="Times New Roman" w:hAnsi="Times New Roman" w:cs="Times New Roman"/>
          <w:color w:val="000000" w:themeColor="text1"/>
          <w:sz w:val="18"/>
          <w:szCs w:val="18"/>
          <w14:textFill>
            <w14:solidFill>
              <w14:schemeClr w14:val="tx1"/>
            </w14:solidFill>
          </w14:textFill>
        </w:rPr>
        <w:t xml:space="preserve"> </w:t>
      </w:r>
      <w:r>
        <w:rPr>
          <w:rFonts w:hint="eastAsia" w:cs="Times New Roman"/>
          <w:color w:val="000000" w:themeColor="text1"/>
          <w:sz w:val="18"/>
          <w:szCs w:val="18"/>
          <w:lang w:val="en-US" w:eastAsia="zh-CN"/>
          <w14:textFill>
            <w14:solidFill>
              <w14:schemeClr w14:val="tx1"/>
            </w14:solidFill>
          </w14:textFill>
        </w:rPr>
        <w:t>Business</w:t>
      </w:r>
      <w:r>
        <w:rPr>
          <w:rFonts w:hint="default" w:ascii="Times New Roman" w:hAnsi="Times New Roman" w:cs="Times New Roman"/>
          <w:color w:val="000000" w:themeColor="text1"/>
          <w:sz w:val="18"/>
          <w:szCs w:val="18"/>
          <w14:textFill>
            <w14:solidFill>
              <w14:schemeClr w14:val="tx1"/>
            </w14:solidFill>
          </w14:textFill>
        </w:rPr>
        <w:t xml:space="preserve"> </w:t>
      </w:r>
      <w:r>
        <w:rPr>
          <w:rFonts w:hint="eastAsia" w:cs="Times New Roman"/>
          <w:color w:val="000000" w:themeColor="text1"/>
          <w:sz w:val="18"/>
          <w:szCs w:val="18"/>
          <w:lang w:val="en-US" w:eastAsia="zh-CN"/>
          <w14:textFill>
            <w14:solidFill>
              <w14:schemeClr w14:val="tx1"/>
            </w14:solidFill>
          </w14:textFill>
        </w:rPr>
        <w:t>and Trade Vocational College</w:t>
      </w:r>
      <w:r>
        <w:rPr>
          <w:rFonts w:hint="default" w:ascii="Times New Roman" w:hAnsi="Times New Roman" w:cs="Times New Roman"/>
          <w:color w:val="000000" w:themeColor="text1"/>
          <w:sz w:val="18"/>
          <w:szCs w:val="18"/>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Wuhan</w:t>
      </w:r>
      <w:r>
        <w:rPr>
          <w:rFonts w:hint="default" w:ascii="Times New Roman" w:hAnsi="Times New Roman" w:cs="Times New Roman"/>
          <w:color w:val="000000" w:themeColor="text1"/>
          <w:sz w:val="18"/>
          <w:szCs w:val="18"/>
          <w14:textFill>
            <w14:solidFill>
              <w14:schemeClr w14:val="tx1"/>
            </w14:solidFill>
          </w14:textFill>
        </w:rPr>
        <w:t xml:space="preserve"> </w:t>
      </w:r>
      <w:r>
        <w:rPr>
          <w:rFonts w:hint="eastAsia" w:cs="Times New Roman"/>
          <w:color w:val="000000" w:themeColor="text1"/>
          <w:sz w:val="18"/>
          <w:szCs w:val="18"/>
          <w:lang w:val="en-US" w:eastAsia="zh-CN"/>
          <w14:textFill>
            <w14:solidFill>
              <w14:schemeClr w14:val="tx1"/>
            </w14:solidFill>
          </w14:textFill>
        </w:rPr>
        <w:t>430205</w:t>
      </w:r>
      <w:r>
        <w:rPr>
          <w:rFonts w:hint="default" w:ascii="Times New Roman" w:hAnsi="Times New Roman" w:cs="Times New Roman"/>
          <w:color w:val="000000" w:themeColor="text1"/>
          <w:sz w:val="18"/>
          <w:szCs w:val="18"/>
          <w14:textFill>
            <w14:solidFill>
              <w14:schemeClr w14:val="tx1"/>
            </w14:solidFill>
          </w14:textFill>
        </w:rPr>
        <w:t>, China; 2.School of Modern Management Technology,Wuhan Business and Trade Vocational College, Wuhan 430205, China</w:t>
      </w:r>
      <w:r>
        <w:rPr>
          <w:rFonts w:hint="default" w:ascii="Times New Roman" w:hAnsi="Times New Roman" w:cs="Times New Roman"/>
          <w:color w:val="000000" w:themeColor="text1"/>
          <w:sz w:val="18"/>
          <w:szCs w:val="18"/>
          <w:lang w:val="en-US" w:eastAsia="zh-CN"/>
          <w14:textFill>
            <w14:solidFill>
              <w14:schemeClr w14:val="tx1"/>
            </w14:solidFill>
          </w14:textFill>
        </w:rPr>
        <w:t>）</w:t>
      </w:r>
      <w:r>
        <w:rPr>
          <w:rFonts w:hint="eastAsia"/>
          <w:color w:val="FF0000"/>
          <w:szCs w:val="21"/>
        </w:rPr>
        <w:t>(</w:t>
      </w:r>
      <w:r>
        <w:rPr>
          <w:rFonts w:hint="eastAsia"/>
          <w:color w:val="FF0000"/>
          <w:szCs w:val="21"/>
          <w:lang w:val="en-US" w:eastAsia="zh-CN"/>
        </w:rPr>
        <w:t>小</w:t>
      </w:r>
      <w:r>
        <w:rPr>
          <w:rFonts w:hint="eastAsia"/>
          <w:color w:val="FF0000"/>
          <w:szCs w:val="21"/>
        </w:rPr>
        <w:t>五号，Times New Roman</w:t>
      </w:r>
      <w:r>
        <w:rPr>
          <w:rFonts w:hint="eastAsia"/>
          <w:color w:val="FF0000"/>
          <w:szCs w:val="21"/>
          <w:highlight w:val="none"/>
          <w:lang w:eastAsia="zh-CN"/>
        </w:rPr>
        <w:t>，</w:t>
      </w:r>
      <w:r>
        <w:rPr>
          <w:rFonts w:hint="eastAsia"/>
          <w:color w:val="FF0000"/>
          <w:szCs w:val="21"/>
          <w:highlight w:val="none"/>
          <w:lang w:val="en-US" w:eastAsia="zh-CN"/>
        </w:rPr>
        <w:t>居中</w:t>
      </w:r>
      <w:r>
        <w:rPr>
          <w:rFonts w:hint="eastAsia"/>
          <w:color w:val="FF0000"/>
          <w:szCs w:val="21"/>
          <w:highlight w:val="none"/>
        </w:rPr>
        <w:t>)</w:t>
      </w:r>
    </w:p>
    <w:p w14:paraId="0EA67490">
      <w:pPr>
        <w:keepNext w:val="0"/>
        <w:keepLines w:val="0"/>
        <w:pageBreakBefore w:val="0"/>
        <w:widowControl w:val="0"/>
        <w:kinsoku/>
        <w:wordWrap/>
        <w:overflowPunct/>
        <w:autoSpaceDE/>
        <w:autoSpaceDN/>
        <w:bidi w:val="0"/>
        <w:adjustRightInd w:val="0"/>
        <w:snapToGrid w:val="0"/>
        <w:spacing w:line="288" w:lineRule="auto"/>
        <w:ind w:firstLine="420" w:firstLineChars="200"/>
        <w:textAlignment w:val="auto"/>
        <w:rPr>
          <w:rFonts w:hint="eastAsia"/>
          <w:b/>
          <w:bCs/>
        </w:rPr>
      </w:pPr>
    </w:p>
    <w:p w14:paraId="51386D12">
      <w:pPr>
        <w:keepNext w:val="0"/>
        <w:keepLines w:val="0"/>
        <w:pageBreakBefore w:val="0"/>
        <w:widowControl w:val="0"/>
        <w:kinsoku/>
        <w:wordWrap/>
        <w:overflowPunct/>
        <w:autoSpaceDE/>
        <w:autoSpaceDN/>
        <w:bidi w:val="0"/>
        <w:adjustRightInd w:val="0"/>
        <w:snapToGrid w:val="0"/>
        <w:spacing w:line="288" w:lineRule="auto"/>
        <w:textAlignment w:val="auto"/>
        <w:rPr>
          <w:rFonts w:hint="eastAsia"/>
          <w:color w:val="FF0000"/>
          <w:sz w:val="18"/>
          <w:szCs w:val="18"/>
        </w:rPr>
      </w:pPr>
      <w:r>
        <w:rPr>
          <w:rFonts w:hint="eastAsia"/>
          <w:b/>
          <w:bCs/>
          <w:highlight w:val="none"/>
        </w:rPr>
        <w:t>Abstract</w:t>
      </w:r>
      <w:r>
        <w:rPr>
          <w:rFonts w:hint="eastAsia"/>
          <w:color w:val="FF0000"/>
          <w:highlight w:val="none"/>
        </w:rPr>
        <w:t>(五号，加粗)</w:t>
      </w:r>
      <w:r>
        <w:rPr>
          <w:rFonts w:hint="eastAsia"/>
          <w:color w:val="auto"/>
          <w:highlight w:val="none"/>
        </w:rPr>
        <w:t>:</w:t>
      </w:r>
      <w:r>
        <w:rPr>
          <w:rFonts w:hint="eastAsia"/>
          <w:color w:val="FF0000"/>
          <w:highlight w:val="none"/>
        </w:rPr>
        <w:t xml:space="preserve"> </w:t>
      </w:r>
      <w:r>
        <w:rPr>
          <w:rFonts w:hint="eastAsia"/>
          <w:sz w:val="18"/>
          <w:szCs w:val="18"/>
        </w:rPr>
        <w:t xml:space="preserve">The English abstract should correspond to the Chinese abstract. The abstract should be written in the third person, and do not use "this paper", "we" and other expressions as the subject. The abstract mainly introduces the research background and the significance of the topic selection of the article, basic data and research methods, main conclusions (obtained correct viewpoints, significance and value, innovation points, policy suggestions, etc. </w:t>
      </w:r>
      <w:r>
        <w:rPr>
          <w:rFonts w:hint="eastAsia"/>
          <w:color w:val="FF0000"/>
          <w:sz w:val="18"/>
          <w:szCs w:val="18"/>
        </w:rPr>
        <w:t>(</w:t>
      </w:r>
      <w:r>
        <w:rPr>
          <w:rFonts w:hint="eastAsia"/>
          <w:color w:val="FF0000"/>
          <w:sz w:val="18"/>
          <w:szCs w:val="18"/>
          <w:lang w:val="en-US" w:eastAsia="zh-CN"/>
        </w:rPr>
        <w:t>小</w:t>
      </w:r>
      <w:r>
        <w:rPr>
          <w:rFonts w:hint="eastAsia"/>
          <w:color w:val="FF0000"/>
          <w:sz w:val="18"/>
          <w:szCs w:val="18"/>
        </w:rPr>
        <w:t>五号，Times New Roman)</w:t>
      </w:r>
    </w:p>
    <w:p w14:paraId="671D9C00">
      <w:pPr>
        <w:keepNext w:val="0"/>
        <w:keepLines w:val="0"/>
        <w:pageBreakBefore w:val="0"/>
        <w:widowControl w:val="0"/>
        <w:kinsoku/>
        <w:wordWrap/>
        <w:overflowPunct/>
        <w:autoSpaceDE/>
        <w:autoSpaceDN/>
        <w:bidi w:val="0"/>
        <w:adjustRightInd w:val="0"/>
        <w:snapToGrid w:val="0"/>
        <w:spacing w:line="288" w:lineRule="auto"/>
        <w:textAlignment w:val="auto"/>
        <w:rPr>
          <w:rFonts w:hint="eastAsia"/>
          <w:color w:val="FF0000"/>
          <w:sz w:val="18"/>
          <w:szCs w:val="18"/>
        </w:rPr>
      </w:pPr>
      <w:r>
        <w:rPr>
          <w:rFonts w:hint="eastAsia"/>
          <w:b/>
          <w:bCs/>
        </w:rPr>
        <w:t>Keywords</w:t>
      </w:r>
      <w:r>
        <w:rPr>
          <w:rFonts w:hint="eastAsia"/>
          <w:color w:val="FF0000"/>
        </w:rPr>
        <w:t>(五号，加粗)</w:t>
      </w:r>
      <w:r>
        <w:rPr>
          <w:rFonts w:hint="eastAsia"/>
        </w:rPr>
        <w:t xml:space="preserve">: </w:t>
      </w:r>
      <w:r>
        <w:rPr>
          <w:rFonts w:hint="eastAsia"/>
          <w:sz w:val="18"/>
          <w:szCs w:val="18"/>
          <w:lang w:val="en-US" w:eastAsia="zh-CN"/>
        </w:rPr>
        <w:t>Applied Technology Education Research; paper; typesetting; format; writing requirements</w:t>
      </w:r>
      <w:r>
        <w:rPr>
          <w:rFonts w:hint="eastAsia"/>
          <w:color w:val="FF0000"/>
          <w:sz w:val="18"/>
          <w:szCs w:val="18"/>
        </w:rPr>
        <w:t>（</w:t>
      </w:r>
      <w:r>
        <w:rPr>
          <w:rFonts w:hint="eastAsia"/>
          <w:color w:val="FF0000"/>
          <w:sz w:val="18"/>
          <w:szCs w:val="18"/>
          <w:lang w:val="en-US" w:eastAsia="zh-CN"/>
        </w:rPr>
        <w:t>小</w:t>
      </w:r>
      <w:r>
        <w:rPr>
          <w:rFonts w:hint="eastAsia"/>
          <w:color w:val="FF0000"/>
          <w:sz w:val="18"/>
          <w:szCs w:val="18"/>
        </w:rPr>
        <w:t>五号，Times New Roman）</w:t>
      </w:r>
    </w:p>
    <w:p w14:paraId="3686E661">
      <w:pPr>
        <w:keepNext w:val="0"/>
        <w:keepLines w:val="0"/>
        <w:pageBreakBefore w:val="0"/>
        <w:widowControl w:val="0"/>
        <w:kinsoku/>
        <w:wordWrap/>
        <w:overflowPunct/>
        <w:autoSpaceDE/>
        <w:autoSpaceDN/>
        <w:bidi w:val="0"/>
        <w:adjustRightInd w:val="0"/>
        <w:snapToGrid w:val="0"/>
        <w:spacing w:line="288" w:lineRule="auto"/>
        <w:textAlignment w:val="auto"/>
        <w:rPr>
          <w:rFonts w:hint="eastAsia"/>
          <w:color w:val="FF0000"/>
          <w:sz w:val="18"/>
          <w:szCs w:val="18"/>
        </w:rPr>
      </w:pPr>
    </w:p>
    <w:p w14:paraId="47550B1D">
      <w:pPr>
        <w:spacing w:line="320" w:lineRule="exact"/>
        <w:jc w:val="right"/>
      </w:pPr>
    </w:p>
    <w:sectPr>
      <w:headerReference r:id="rId3" w:type="first"/>
      <w:footerReference r:id="rId4" w:type="first"/>
      <w:type w:val="nextColumn"/>
      <w:pgSz w:w="9582" w:h="13551"/>
      <w:pgMar w:top="1701" w:right="1134" w:bottom="1134" w:left="1134" w:header="851" w:footer="1247"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6C76F">
    <w:pPr>
      <w:pStyle w:val="12"/>
      <w:spacing w:line="240" w:lineRule="exact"/>
      <w:jc w:val="both"/>
      <w:rPr>
        <w:sz w:val="15"/>
      </w:rPr>
    </w:pPr>
    <w:r>
      <w:rPr>
        <w:sz w:val="15"/>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90805</wp:posOffset>
              </wp:positionV>
              <wp:extent cx="1371600" cy="0"/>
              <wp:effectExtent l="6985" t="8890" r="12065" b="10160"/>
              <wp:wrapTopAndBottom/>
              <wp:docPr id="1828961343" name="Line 3"/>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6350">
                        <a:solidFill>
                          <a:srgbClr val="000000"/>
                        </a:solidFill>
                        <a:round/>
                      </a:ln>
                    </wps:spPr>
                    <wps:bodyPr/>
                  </wps:wsp>
                </a:graphicData>
              </a:graphic>
            </wp:anchor>
          </w:drawing>
        </mc:Choice>
        <mc:Fallback>
          <w:pict>
            <v:line id="Line 3" o:spid="_x0000_s1026" o:spt="20" style="position:absolute;left:0pt;margin-left:0pt;margin-top:7.15pt;height:0pt;width:108pt;mso-wrap-distance-bottom:0pt;mso-wrap-distance-top:0pt;z-index:251659264;mso-width-relative:page;mso-height-relative:page;" filled="f" stroked="t" coordsize="21600,21600" o:gfxdata="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eYXfm0QAAAAYBAAAPAAAAAAAAAAEAIAAAACIAAABkcnMv&#10;ZG93bnJldi54bWxQSwECFAAUAAAACACHTuJArQpCedEBAACoAwAADgAAAAAAAAABACAAAAAgAQAA&#10;ZHJzL2Uyb0RvYy54bWxQSwUGAAAAAAYABgBZAQAAYwUAAAAA&#10;">
              <v:fill on="f" focussize="0,0"/>
              <v:stroke weight="0.5pt" color="#000000" joinstyle="round"/>
              <v:imagedata o:title=""/>
              <o:lock v:ext="edit" aspectratio="f"/>
              <w10:wrap type="topAndBottom"/>
            </v:line>
          </w:pict>
        </mc:Fallback>
      </mc:AlternateContent>
    </w:r>
  </w:p>
  <w:p w14:paraId="10072ECE">
    <w:pPr>
      <w:pStyle w:val="14"/>
      <w:spacing w:line="240" w:lineRule="exact"/>
      <w:jc w:val="both"/>
      <w:rPr>
        <w:rFonts w:hint="eastAsia" w:ascii="宋体" w:hAnsi="宋体"/>
      </w:rPr>
    </w:pPr>
    <w:r>
      <w:rPr>
        <w:rFonts w:hint="eastAsia"/>
        <w:b/>
        <w:bCs/>
        <w:spacing w:val="-2"/>
      </w:rPr>
      <w:t>基金项目：</w:t>
    </w:r>
    <w:r>
      <w:rPr>
        <w:rFonts w:hint="eastAsia"/>
        <w:highlight w:val="none"/>
        <w:lang w:val="en-US" w:eastAsia="zh-CN"/>
      </w:rPr>
      <w:t>武汉商贸职业学院</w:t>
    </w:r>
    <w:r>
      <w:rPr>
        <w:rFonts w:hint="eastAsia"/>
      </w:rPr>
      <w:t>202</w:t>
    </w:r>
    <w:r>
      <w:rPr>
        <w:rFonts w:hint="eastAsia"/>
        <w:lang w:val="en-US" w:eastAsia="zh-CN"/>
      </w:rPr>
      <w:t>6</w:t>
    </w:r>
    <w:r>
      <w:rPr>
        <w:rFonts w:hint="eastAsia"/>
      </w:rPr>
      <w:t>年</w:t>
    </w:r>
    <w:r>
      <w:rPr>
        <w:rFonts w:hint="eastAsia"/>
        <w:lang w:val="en-US" w:eastAsia="zh-CN"/>
      </w:rPr>
      <w:t>校级教科研项目：</w:t>
    </w:r>
    <w:r>
      <w:rPr>
        <w:rFonts w:hint="eastAsia"/>
        <w:highlight w:val="none"/>
      </w:rPr>
      <w:t>“</w:t>
    </w:r>
    <w:r>
      <w:rPr>
        <w:rFonts w:hint="eastAsia"/>
        <w:highlight w:val="none"/>
        <w:lang w:val="en-US" w:eastAsia="zh-CN"/>
      </w:rPr>
      <w:t>项目名称</w:t>
    </w:r>
    <w:r>
      <w:rPr>
        <w:rFonts w:hint="eastAsia"/>
        <w:highlight w:val="none"/>
      </w:rPr>
      <w:t>”（202</w:t>
    </w:r>
    <w:r>
      <w:rPr>
        <w:rFonts w:hint="eastAsia"/>
        <w:highlight w:val="none"/>
        <w:lang w:val="en-US" w:eastAsia="zh-CN"/>
      </w:rPr>
      <w:t>6WSY11</w:t>
    </w:r>
    <w:r>
      <w:rPr>
        <w:rFonts w:hint="eastAsia"/>
        <w:highlight w:val="none"/>
      </w:rPr>
      <w:t>）。</w:t>
    </w:r>
    <w:r>
      <w:rPr>
        <w:rFonts w:hint="eastAsia"/>
        <w:color w:val="FF0000"/>
        <w:highlight w:val="none"/>
      </w:rPr>
      <w:t>（</w:t>
    </w:r>
    <w:r>
      <w:rPr>
        <w:rFonts w:hint="eastAsia"/>
        <w:color w:val="FF0000"/>
      </w:rPr>
      <w:t>注明</w:t>
    </w:r>
    <w:r>
      <w:rPr>
        <w:rFonts w:hint="eastAsia"/>
        <w:color w:val="FF0000"/>
        <w:lang w:val="en-US" w:eastAsia="zh-CN"/>
      </w:rPr>
      <w:t>**</w:t>
    </w:r>
    <w:r>
      <w:rPr>
        <w:rFonts w:hint="eastAsia"/>
        <w:color w:val="FF0000"/>
      </w:rPr>
      <w:t>基金或项目</w:t>
    </w:r>
    <w:r>
      <w:rPr>
        <w:rFonts w:hint="eastAsia"/>
        <w:color w:val="FF0000"/>
        <w:lang w:eastAsia="zh-CN"/>
      </w:rPr>
      <w:t>“</w:t>
    </w:r>
    <w:r>
      <w:rPr>
        <w:rFonts w:hint="eastAsia"/>
        <w:color w:val="FF0000"/>
        <w:lang w:val="en-US" w:eastAsia="zh-CN"/>
      </w:rPr>
      <w:t>项目名称</w:t>
    </w:r>
    <w:r>
      <w:rPr>
        <w:rFonts w:hint="eastAsia"/>
        <w:color w:val="FF0000"/>
        <w:lang w:eastAsia="zh-CN"/>
      </w:rPr>
      <w:t>”</w:t>
    </w:r>
    <w:r>
      <w:rPr>
        <w:rFonts w:hint="eastAsia"/>
        <w:color w:val="FF0000"/>
      </w:rPr>
      <w:t>，末尾括号内注明项目编号</w:t>
    </w:r>
    <w:r>
      <w:rPr>
        <w:rFonts w:hint="eastAsia"/>
        <w:color w:val="FF0000"/>
        <w:lang w:eastAsia="zh-CN"/>
      </w:rPr>
      <w:t>，</w:t>
    </w:r>
    <w:r>
      <w:rPr>
        <w:rFonts w:hint="eastAsia"/>
        <w:color w:val="FF0000"/>
        <w:lang w:val="en-US" w:eastAsia="zh-CN"/>
      </w:rPr>
      <w:t>中文</w:t>
    </w:r>
    <w:r>
      <w:rPr>
        <w:rFonts w:hint="eastAsia" w:ascii="宋体" w:hAnsi="宋体"/>
        <w:color w:val="FF0000"/>
      </w:rPr>
      <w:t>小五宋</w:t>
    </w:r>
    <w:r>
      <w:rPr>
        <w:rFonts w:hint="eastAsia"/>
        <w:color w:val="FF0000"/>
      </w:rPr>
      <w:t>）</w:t>
    </w:r>
  </w:p>
  <w:p w14:paraId="2D5EFE39">
    <w:pPr>
      <w:pStyle w:val="14"/>
      <w:spacing w:line="240" w:lineRule="exact"/>
      <w:jc w:val="both"/>
      <w:rPr>
        <w:rFonts w:hint="eastAsia" w:ascii="宋体" w:hAnsi="宋体"/>
        <w:color w:val="FF0000"/>
      </w:rPr>
    </w:pPr>
    <w:r>
      <w:rPr>
        <w:rFonts w:hint="eastAsia"/>
        <w:b/>
        <w:bCs/>
        <w:spacing w:val="-2"/>
      </w:rPr>
      <w:t>作者简介：</w:t>
    </w:r>
    <w:r>
      <w:rPr>
        <w:rFonts w:hint="eastAsia"/>
      </w:rPr>
      <w:t>张三，</w:t>
    </w:r>
    <w:r>
      <w:rPr>
        <w:rFonts w:hint="eastAsia"/>
        <w:lang w:val="en-US" w:eastAsia="zh-CN"/>
      </w:rPr>
      <w:t>武汉商贸职业学院现代商务技术学院，讲师</w:t>
    </w:r>
    <w:r>
      <w:rPr>
        <w:rFonts w:hint="eastAsia"/>
      </w:rPr>
      <w:t>，</w:t>
    </w:r>
    <w:r>
      <w:rPr>
        <w:rFonts w:hint="eastAsia"/>
        <w:lang w:val="en-US" w:eastAsia="zh-CN"/>
      </w:rPr>
      <w:t>研究方向为xxx</w:t>
    </w:r>
    <w:r>
      <w:rPr>
        <w:rFonts w:hint="eastAsia"/>
        <w:lang w:eastAsia="zh-CN"/>
      </w:rPr>
      <w:t>；</w:t>
    </w:r>
    <w:r>
      <w:rPr>
        <w:rFonts w:hint="eastAsia" w:ascii="宋体" w:hAnsi="宋体"/>
        <w:color w:val="auto"/>
      </w:rPr>
      <w:t>李四</w:t>
    </w:r>
    <w:r>
      <w:rPr>
        <w:rFonts w:hint="eastAsia" w:ascii="宋体" w:hAnsi="宋体"/>
        <w:color w:val="auto"/>
        <w:lang w:eastAsia="zh-CN"/>
      </w:rPr>
      <w:t>，</w:t>
    </w:r>
    <w:r>
      <w:rPr>
        <w:rFonts w:hint="eastAsia" w:ascii="宋体" w:hAnsi="宋体"/>
        <w:color w:val="auto"/>
        <w:lang w:val="en-US" w:eastAsia="zh-CN"/>
      </w:rPr>
      <w:t>武汉商贸职业学院现代管理技术学院，教授，研究方向为xxx</w:t>
    </w:r>
    <w:r>
      <w:rPr>
        <w:rFonts w:hint="eastAsia"/>
      </w:rPr>
      <w:t>。</w:t>
    </w:r>
    <w:r>
      <w:rPr>
        <w:rFonts w:hint="eastAsia" w:ascii="宋体" w:hAnsi="宋体"/>
        <w:color w:val="FF0000"/>
      </w:rPr>
      <w:t>（</w:t>
    </w:r>
    <w:r>
      <w:rPr>
        <w:rFonts w:hint="eastAsia" w:ascii="宋体" w:hAnsi="宋体"/>
        <w:color w:val="FF0000"/>
        <w:lang w:val="en-US" w:eastAsia="zh-CN"/>
      </w:rPr>
      <w:t>中文</w:t>
    </w:r>
    <w:r>
      <w:rPr>
        <w:rFonts w:hint="eastAsia" w:ascii="宋体" w:hAnsi="宋体"/>
        <w:color w:val="FF0000"/>
      </w:rPr>
      <w:t>小五宋）</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B5714">
    <w:pPr>
      <w:pStyle w:val="23"/>
      <w:pBdr>
        <w:bottom w:val="thickThinSmallGap" w:color="auto" w:sz="18" w:space="2"/>
      </w:pBdr>
      <w:jc w:val="center"/>
      <w:rPr>
        <w:highlight w:val="cyan"/>
      </w:rPr>
    </w:pPr>
    <w:r>
      <w:rPr>
        <w:rFonts w:hint="eastAsia" w:ascii="黑体" w:eastAsia="黑体"/>
        <w:lang w:val="en-US" w:eastAsia="zh-CN"/>
      </w:rPr>
      <w:t>应用技术教育研究</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B700D6"/>
    <w:multiLevelType w:val="multilevel"/>
    <w:tmpl w:val="29B700D6"/>
    <w:lvl w:ilvl="0" w:tentative="0">
      <w:start w:val="1"/>
      <w:numFmt w:val="decimal"/>
      <w:pStyle w:val="27"/>
      <w:lvlText w:val="[%1]"/>
      <w:lvlJc w:val="left"/>
      <w:pPr>
        <w:tabs>
          <w:tab w:val="left" w:pos="562"/>
        </w:tabs>
        <w:ind w:left="562" w:hanging="420"/>
      </w:pPr>
      <w:rPr>
        <w:rFonts w:hint="eastAsia"/>
        <w:b w:val="0"/>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D08"/>
    <w:rsid w:val="00036FB6"/>
    <w:rsid w:val="00050991"/>
    <w:rsid w:val="00053BC3"/>
    <w:rsid w:val="000A417F"/>
    <w:rsid w:val="00152EBD"/>
    <w:rsid w:val="001532A8"/>
    <w:rsid w:val="001D14E8"/>
    <w:rsid w:val="001E2A0E"/>
    <w:rsid w:val="00235292"/>
    <w:rsid w:val="002636D6"/>
    <w:rsid w:val="00266C9E"/>
    <w:rsid w:val="00275528"/>
    <w:rsid w:val="00307D25"/>
    <w:rsid w:val="003429F2"/>
    <w:rsid w:val="00391AA1"/>
    <w:rsid w:val="003D7A1F"/>
    <w:rsid w:val="00463823"/>
    <w:rsid w:val="0047405E"/>
    <w:rsid w:val="004A0D76"/>
    <w:rsid w:val="004F5B0E"/>
    <w:rsid w:val="005260CA"/>
    <w:rsid w:val="00592A0E"/>
    <w:rsid w:val="005E1034"/>
    <w:rsid w:val="00605FC6"/>
    <w:rsid w:val="00607D79"/>
    <w:rsid w:val="00651FA8"/>
    <w:rsid w:val="00681A2D"/>
    <w:rsid w:val="00682894"/>
    <w:rsid w:val="00764299"/>
    <w:rsid w:val="007737B8"/>
    <w:rsid w:val="00810BC7"/>
    <w:rsid w:val="00875D08"/>
    <w:rsid w:val="00893C97"/>
    <w:rsid w:val="008A4DA1"/>
    <w:rsid w:val="009566DA"/>
    <w:rsid w:val="00994EB1"/>
    <w:rsid w:val="00A9548D"/>
    <w:rsid w:val="00AF6315"/>
    <w:rsid w:val="00B02C9A"/>
    <w:rsid w:val="00B32FD1"/>
    <w:rsid w:val="00B714EE"/>
    <w:rsid w:val="00BF722B"/>
    <w:rsid w:val="00C711A0"/>
    <w:rsid w:val="00CC5CC7"/>
    <w:rsid w:val="00CF4F05"/>
    <w:rsid w:val="00DA38D7"/>
    <w:rsid w:val="00DC1430"/>
    <w:rsid w:val="00DD45CB"/>
    <w:rsid w:val="00DE240D"/>
    <w:rsid w:val="00E0517E"/>
    <w:rsid w:val="00E84814"/>
    <w:rsid w:val="00E86166"/>
    <w:rsid w:val="00EA347B"/>
    <w:rsid w:val="00EB62B2"/>
    <w:rsid w:val="00EC420C"/>
    <w:rsid w:val="00F952BE"/>
    <w:rsid w:val="00FA201B"/>
    <w:rsid w:val="00FD7123"/>
    <w:rsid w:val="0105032F"/>
    <w:rsid w:val="013001A1"/>
    <w:rsid w:val="01FE5971"/>
    <w:rsid w:val="02186A33"/>
    <w:rsid w:val="02CC7973"/>
    <w:rsid w:val="02DA4630"/>
    <w:rsid w:val="030B47EA"/>
    <w:rsid w:val="052E47BF"/>
    <w:rsid w:val="05AB5E10"/>
    <w:rsid w:val="07470439"/>
    <w:rsid w:val="08602EE2"/>
    <w:rsid w:val="089A4646"/>
    <w:rsid w:val="08F31FA8"/>
    <w:rsid w:val="0A1E12A6"/>
    <w:rsid w:val="0A374116"/>
    <w:rsid w:val="0A717179"/>
    <w:rsid w:val="0ACF6357"/>
    <w:rsid w:val="0C5D60B6"/>
    <w:rsid w:val="0CFE2CC9"/>
    <w:rsid w:val="0D815DD4"/>
    <w:rsid w:val="0E0535BB"/>
    <w:rsid w:val="0ECC7523"/>
    <w:rsid w:val="0F900551"/>
    <w:rsid w:val="11001706"/>
    <w:rsid w:val="111D4066"/>
    <w:rsid w:val="121865DB"/>
    <w:rsid w:val="12521AED"/>
    <w:rsid w:val="138C54D3"/>
    <w:rsid w:val="143262E8"/>
    <w:rsid w:val="14B46A8F"/>
    <w:rsid w:val="15853F88"/>
    <w:rsid w:val="16897AA8"/>
    <w:rsid w:val="168B1A72"/>
    <w:rsid w:val="16E66CA8"/>
    <w:rsid w:val="16F5338F"/>
    <w:rsid w:val="17FA2EB3"/>
    <w:rsid w:val="1816180F"/>
    <w:rsid w:val="18866995"/>
    <w:rsid w:val="19B4308D"/>
    <w:rsid w:val="19DA173B"/>
    <w:rsid w:val="1ADF5E5A"/>
    <w:rsid w:val="1BF34458"/>
    <w:rsid w:val="1C632B49"/>
    <w:rsid w:val="1CAE2016"/>
    <w:rsid w:val="1CCE361E"/>
    <w:rsid w:val="1D0165EA"/>
    <w:rsid w:val="1D5801D4"/>
    <w:rsid w:val="1D725739"/>
    <w:rsid w:val="1E1706E6"/>
    <w:rsid w:val="1F2B5BA0"/>
    <w:rsid w:val="1FA53BA4"/>
    <w:rsid w:val="1FB43DE7"/>
    <w:rsid w:val="20000DDB"/>
    <w:rsid w:val="2040567B"/>
    <w:rsid w:val="2074456C"/>
    <w:rsid w:val="207941B2"/>
    <w:rsid w:val="20C31E08"/>
    <w:rsid w:val="211803A6"/>
    <w:rsid w:val="21CB18BC"/>
    <w:rsid w:val="21DA565B"/>
    <w:rsid w:val="22B91715"/>
    <w:rsid w:val="22C205C9"/>
    <w:rsid w:val="22D36C7A"/>
    <w:rsid w:val="232525A3"/>
    <w:rsid w:val="235F406A"/>
    <w:rsid w:val="24724ED1"/>
    <w:rsid w:val="24EA3E07"/>
    <w:rsid w:val="258E50DA"/>
    <w:rsid w:val="27174C5C"/>
    <w:rsid w:val="27410617"/>
    <w:rsid w:val="274F0899"/>
    <w:rsid w:val="27826579"/>
    <w:rsid w:val="28060F58"/>
    <w:rsid w:val="28143A5A"/>
    <w:rsid w:val="28305FD5"/>
    <w:rsid w:val="28F74D45"/>
    <w:rsid w:val="290E7BA0"/>
    <w:rsid w:val="2A952A67"/>
    <w:rsid w:val="2AD32229"/>
    <w:rsid w:val="2BA411B4"/>
    <w:rsid w:val="2BB331A5"/>
    <w:rsid w:val="2BEF61A7"/>
    <w:rsid w:val="2C477D91"/>
    <w:rsid w:val="2D391DD0"/>
    <w:rsid w:val="2EB21578"/>
    <w:rsid w:val="2ECB4CA9"/>
    <w:rsid w:val="2FD22068"/>
    <w:rsid w:val="300541EB"/>
    <w:rsid w:val="30CB71E3"/>
    <w:rsid w:val="314D409C"/>
    <w:rsid w:val="31666F0B"/>
    <w:rsid w:val="31E247E4"/>
    <w:rsid w:val="32BB5035"/>
    <w:rsid w:val="33835198"/>
    <w:rsid w:val="33923C70"/>
    <w:rsid w:val="33E02FA5"/>
    <w:rsid w:val="340065B0"/>
    <w:rsid w:val="341B222F"/>
    <w:rsid w:val="34D67F04"/>
    <w:rsid w:val="351006CF"/>
    <w:rsid w:val="36B424C7"/>
    <w:rsid w:val="36D3294D"/>
    <w:rsid w:val="37184804"/>
    <w:rsid w:val="374B2E2B"/>
    <w:rsid w:val="37950385"/>
    <w:rsid w:val="379926F9"/>
    <w:rsid w:val="37B415A1"/>
    <w:rsid w:val="38926838"/>
    <w:rsid w:val="391334D5"/>
    <w:rsid w:val="397D1D25"/>
    <w:rsid w:val="399606F9"/>
    <w:rsid w:val="39A44A75"/>
    <w:rsid w:val="3A0A23A5"/>
    <w:rsid w:val="3B530501"/>
    <w:rsid w:val="3BA1126C"/>
    <w:rsid w:val="3BB75A86"/>
    <w:rsid w:val="3C4D13F4"/>
    <w:rsid w:val="3D4B5C0A"/>
    <w:rsid w:val="3E506F79"/>
    <w:rsid w:val="3EF67B21"/>
    <w:rsid w:val="3F740A45"/>
    <w:rsid w:val="3FD140EA"/>
    <w:rsid w:val="40556AC9"/>
    <w:rsid w:val="40752CC7"/>
    <w:rsid w:val="41636FC4"/>
    <w:rsid w:val="41E73751"/>
    <w:rsid w:val="43081BD1"/>
    <w:rsid w:val="434244F0"/>
    <w:rsid w:val="437E72AB"/>
    <w:rsid w:val="43BB6C43"/>
    <w:rsid w:val="442073EE"/>
    <w:rsid w:val="444B446B"/>
    <w:rsid w:val="44626316"/>
    <w:rsid w:val="44E15A55"/>
    <w:rsid w:val="452A1E26"/>
    <w:rsid w:val="45E22BAD"/>
    <w:rsid w:val="464D55E6"/>
    <w:rsid w:val="471E5E67"/>
    <w:rsid w:val="482C60D7"/>
    <w:rsid w:val="49211131"/>
    <w:rsid w:val="4933371F"/>
    <w:rsid w:val="497872D9"/>
    <w:rsid w:val="4A3B0ADD"/>
    <w:rsid w:val="4A8A736F"/>
    <w:rsid w:val="4AAC6769"/>
    <w:rsid w:val="4BBA3897"/>
    <w:rsid w:val="4C561BFF"/>
    <w:rsid w:val="4C88610C"/>
    <w:rsid w:val="4E321958"/>
    <w:rsid w:val="4E830CA5"/>
    <w:rsid w:val="4FF57980"/>
    <w:rsid w:val="5099655E"/>
    <w:rsid w:val="50E61077"/>
    <w:rsid w:val="50E81293"/>
    <w:rsid w:val="514F30C0"/>
    <w:rsid w:val="51DF4444"/>
    <w:rsid w:val="524D5852"/>
    <w:rsid w:val="526F5BB7"/>
    <w:rsid w:val="52884ADC"/>
    <w:rsid w:val="54596730"/>
    <w:rsid w:val="54BB2F47"/>
    <w:rsid w:val="54F621D1"/>
    <w:rsid w:val="55B87486"/>
    <w:rsid w:val="55E97640"/>
    <w:rsid w:val="563034C0"/>
    <w:rsid w:val="56B92058"/>
    <w:rsid w:val="588C4AE0"/>
    <w:rsid w:val="592A069B"/>
    <w:rsid w:val="592E27DC"/>
    <w:rsid w:val="5A0F7891"/>
    <w:rsid w:val="5A1F6788"/>
    <w:rsid w:val="5A290952"/>
    <w:rsid w:val="5A5A6D5E"/>
    <w:rsid w:val="5A6258CE"/>
    <w:rsid w:val="5ADA7E9F"/>
    <w:rsid w:val="5ADD173D"/>
    <w:rsid w:val="5B26283F"/>
    <w:rsid w:val="5BB3617E"/>
    <w:rsid w:val="5CC63245"/>
    <w:rsid w:val="5D4E247E"/>
    <w:rsid w:val="5D5201C0"/>
    <w:rsid w:val="5E3C677A"/>
    <w:rsid w:val="5E4A0E97"/>
    <w:rsid w:val="5F0279C4"/>
    <w:rsid w:val="5F3202A9"/>
    <w:rsid w:val="5FCD7FD2"/>
    <w:rsid w:val="609805E0"/>
    <w:rsid w:val="61077514"/>
    <w:rsid w:val="61654183"/>
    <w:rsid w:val="618E3791"/>
    <w:rsid w:val="623137E2"/>
    <w:rsid w:val="62481B92"/>
    <w:rsid w:val="62DA4EE0"/>
    <w:rsid w:val="62F01753"/>
    <w:rsid w:val="64A12F35"/>
    <w:rsid w:val="65EB11B2"/>
    <w:rsid w:val="672F43AB"/>
    <w:rsid w:val="67CA4DF7"/>
    <w:rsid w:val="684A6664"/>
    <w:rsid w:val="68D0468F"/>
    <w:rsid w:val="68D128E1"/>
    <w:rsid w:val="69344C1E"/>
    <w:rsid w:val="69F820EF"/>
    <w:rsid w:val="6ACD532A"/>
    <w:rsid w:val="6AE368FC"/>
    <w:rsid w:val="6B652908"/>
    <w:rsid w:val="6BB169FA"/>
    <w:rsid w:val="6BE74996"/>
    <w:rsid w:val="6C117498"/>
    <w:rsid w:val="6C46362F"/>
    <w:rsid w:val="6C871509"/>
    <w:rsid w:val="6CB06CB1"/>
    <w:rsid w:val="6D5B6C1D"/>
    <w:rsid w:val="6DCB40CA"/>
    <w:rsid w:val="6F493765"/>
    <w:rsid w:val="6FDB2297"/>
    <w:rsid w:val="714874B8"/>
    <w:rsid w:val="71573B9F"/>
    <w:rsid w:val="72350290"/>
    <w:rsid w:val="72F97C30"/>
    <w:rsid w:val="734358E3"/>
    <w:rsid w:val="734B2115"/>
    <w:rsid w:val="73832A2A"/>
    <w:rsid w:val="73C13552"/>
    <w:rsid w:val="73D9089C"/>
    <w:rsid w:val="743E3F17"/>
    <w:rsid w:val="74D80B53"/>
    <w:rsid w:val="75096F5F"/>
    <w:rsid w:val="751F2C26"/>
    <w:rsid w:val="75377F70"/>
    <w:rsid w:val="75BE5F9B"/>
    <w:rsid w:val="75CD2682"/>
    <w:rsid w:val="761B163F"/>
    <w:rsid w:val="771B5888"/>
    <w:rsid w:val="778E5E41"/>
    <w:rsid w:val="77D71596"/>
    <w:rsid w:val="782B3690"/>
    <w:rsid w:val="78C938EB"/>
    <w:rsid w:val="790A599B"/>
    <w:rsid w:val="799B7FB2"/>
    <w:rsid w:val="79A764C4"/>
    <w:rsid w:val="79A8143C"/>
    <w:rsid w:val="7A2B3E1B"/>
    <w:rsid w:val="7AE71AF0"/>
    <w:rsid w:val="7B0E1773"/>
    <w:rsid w:val="7B315461"/>
    <w:rsid w:val="7BF85F7F"/>
    <w:rsid w:val="7C4D62CB"/>
    <w:rsid w:val="7C7970C0"/>
    <w:rsid w:val="7CD42548"/>
    <w:rsid w:val="7D1172F8"/>
    <w:rsid w:val="7D605B8A"/>
    <w:rsid w:val="7DA559E5"/>
    <w:rsid w:val="7F3A3C32"/>
    <w:rsid w:val="7F876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napToGrid w:val="0"/>
      <w:spacing w:line="360" w:lineRule="atLeast"/>
      <w:jc w:val="center"/>
      <w:outlineLvl w:val="0"/>
    </w:pPr>
    <w:rPr>
      <w:sz w:val="32"/>
      <w:szCs w:val="20"/>
    </w:rPr>
  </w:style>
  <w:style w:type="paragraph" w:styleId="3">
    <w:name w:val="heading 2"/>
    <w:basedOn w:val="1"/>
    <w:next w:val="4"/>
    <w:qFormat/>
    <w:uiPriority w:val="0"/>
    <w:pPr>
      <w:autoSpaceDE w:val="0"/>
      <w:autoSpaceDN w:val="0"/>
      <w:adjustRightInd w:val="0"/>
      <w:spacing w:before="280" w:after="280" w:line="360" w:lineRule="atLeast"/>
      <w:jc w:val="center"/>
      <w:textAlignment w:val="baseline"/>
      <w:outlineLvl w:val="1"/>
    </w:pPr>
    <w:rPr>
      <w:rFonts w:hAnsi="Arial"/>
      <w:kern w:val="0"/>
      <w:sz w:val="36"/>
      <w:szCs w:val="20"/>
    </w:rPr>
  </w:style>
  <w:style w:type="paragraph" w:styleId="5">
    <w:name w:val="heading 3"/>
    <w:basedOn w:val="1"/>
    <w:next w:val="1"/>
    <w:qFormat/>
    <w:uiPriority w:val="0"/>
    <w:pPr>
      <w:keepNext/>
      <w:snapToGrid w:val="0"/>
      <w:spacing w:line="300" w:lineRule="exact"/>
      <w:ind w:firstLine="454"/>
      <w:jc w:val="center"/>
      <w:outlineLvl w:val="2"/>
    </w:pPr>
    <w:rPr>
      <w:rFonts w:eastAsia="黑体"/>
      <w:b/>
      <w:bCs/>
      <w:sz w:val="18"/>
    </w:rPr>
  </w:style>
  <w:style w:type="paragraph" w:styleId="6">
    <w:name w:val="heading 4"/>
    <w:basedOn w:val="1"/>
    <w:next w:val="4"/>
    <w:qFormat/>
    <w:uiPriority w:val="0"/>
    <w:pPr>
      <w:autoSpaceDE w:val="0"/>
      <w:autoSpaceDN w:val="0"/>
      <w:adjustRightInd w:val="0"/>
      <w:spacing w:before="160" w:after="120" w:line="360" w:lineRule="atLeast"/>
      <w:jc w:val="left"/>
      <w:textAlignment w:val="baseline"/>
      <w:outlineLvl w:val="3"/>
    </w:pPr>
    <w:rPr>
      <w:rFonts w:hAnsi="Arial"/>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spacing w:line="360" w:lineRule="atLeast"/>
      <w:ind w:firstLine="420"/>
      <w:jc w:val="left"/>
      <w:textAlignment w:val="baseline"/>
    </w:pPr>
    <w:rPr>
      <w:rFonts w:hAnsi="Arial"/>
      <w:kern w:val="0"/>
      <w:sz w:val="22"/>
      <w:szCs w:val="20"/>
    </w:rPr>
  </w:style>
  <w:style w:type="paragraph" w:styleId="7">
    <w:name w:val="annotation text"/>
    <w:basedOn w:val="1"/>
    <w:qFormat/>
    <w:uiPriority w:val="0"/>
    <w:pPr>
      <w:jc w:val="left"/>
    </w:pPr>
  </w:style>
  <w:style w:type="paragraph" w:styleId="8">
    <w:name w:val="Body Text"/>
    <w:basedOn w:val="1"/>
    <w:qFormat/>
    <w:uiPriority w:val="0"/>
    <w:pPr>
      <w:jc w:val="center"/>
    </w:pPr>
    <w:rPr>
      <w:b/>
      <w:bCs/>
      <w:sz w:val="28"/>
    </w:rPr>
  </w:style>
  <w:style w:type="paragraph" w:styleId="9">
    <w:name w:val="Body Text Indent"/>
    <w:basedOn w:val="1"/>
    <w:qFormat/>
    <w:uiPriority w:val="0"/>
    <w:pPr>
      <w:ind w:firstLine="420"/>
    </w:pPr>
    <w:rPr>
      <w:szCs w:val="20"/>
    </w:rPr>
  </w:style>
  <w:style w:type="paragraph" w:styleId="10">
    <w:name w:val="Plain Text"/>
    <w:basedOn w:val="1"/>
    <w:qFormat/>
    <w:uiPriority w:val="0"/>
    <w:rPr>
      <w:rFonts w:ascii="宋体" w:hAnsi="Courier New" w:cs="Courier New"/>
      <w:szCs w:val="21"/>
    </w:rPr>
  </w:style>
  <w:style w:type="paragraph" w:styleId="11">
    <w:name w:val="Body Text Indent 2"/>
    <w:basedOn w:val="1"/>
    <w:qFormat/>
    <w:uiPriority w:val="0"/>
    <w:pPr>
      <w:snapToGrid w:val="0"/>
      <w:spacing w:line="300" w:lineRule="exact"/>
      <w:ind w:firstLine="454"/>
    </w:p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footnote text"/>
    <w:basedOn w:val="1"/>
    <w:semiHidden/>
    <w:qFormat/>
    <w:uiPriority w:val="0"/>
    <w:pPr>
      <w:snapToGrid w:val="0"/>
      <w:jc w:val="left"/>
    </w:pPr>
    <w:rPr>
      <w:sz w:val="18"/>
      <w:szCs w:val="20"/>
    </w:rPr>
  </w:style>
  <w:style w:type="paragraph" w:styleId="15">
    <w:name w:val="Body Text Indent 3"/>
    <w:basedOn w:val="1"/>
    <w:qFormat/>
    <w:uiPriority w:val="0"/>
    <w:pPr>
      <w:spacing w:line="320" w:lineRule="exact"/>
      <w:ind w:firstLine="425"/>
    </w:pPr>
  </w:style>
  <w:style w:type="paragraph" w:styleId="16">
    <w:name w:val="Body Text 2"/>
    <w:basedOn w:val="1"/>
    <w:qFormat/>
    <w:uiPriority w:val="0"/>
    <w:pPr>
      <w:spacing w:line="330" w:lineRule="exact"/>
      <w:jc w:val="distribute"/>
    </w:pPr>
    <w:rPr>
      <w:szCs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FollowedHyperlink"/>
    <w:basedOn w:val="19"/>
    <w:qFormat/>
    <w:uiPriority w:val="0"/>
    <w:rPr>
      <w:color w:val="800080"/>
      <w:u w:val="single"/>
    </w:rPr>
  </w:style>
  <w:style w:type="character" w:styleId="22">
    <w:name w:val="Hyperlink"/>
    <w:basedOn w:val="19"/>
    <w:qFormat/>
    <w:uiPriority w:val="0"/>
    <w:rPr>
      <w:color w:val="0000FF"/>
      <w:u w:val="single"/>
    </w:rPr>
  </w:style>
  <w:style w:type="paragraph" w:customStyle="1" w:styleId="23">
    <w:name w:val="样式1"/>
    <w:basedOn w:val="13"/>
    <w:next w:val="1"/>
    <w:qFormat/>
    <w:uiPriority w:val="0"/>
    <w:pPr>
      <w:pBdr>
        <w:bottom w:val="thickThinSmallGap" w:color="auto" w:sz="18" w:space="1"/>
      </w:pBdr>
    </w:pPr>
    <w:rPr>
      <w:sz w:val="21"/>
      <w:szCs w:val="20"/>
    </w:rPr>
  </w:style>
  <w:style w:type="paragraph" w:styleId="24">
    <w:name w:val="List Paragraph"/>
    <w:basedOn w:val="1"/>
    <w:qFormat/>
    <w:uiPriority w:val="34"/>
    <w:pPr>
      <w:ind w:firstLine="420" w:firstLineChars="200"/>
    </w:pPr>
  </w:style>
  <w:style w:type="character" w:customStyle="1" w:styleId="25">
    <w:name w:val="未处理的提及1"/>
    <w:basedOn w:val="19"/>
    <w:semiHidden/>
    <w:unhideWhenUsed/>
    <w:qFormat/>
    <w:uiPriority w:val="99"/>
    <w:rPr>
      <w:color w:val="605E5C"/>
      <w:shd w:val="clear" w:color="auto" w:fill="E1DFDD"/>
    </w:rPr>
  </w:style>
  <w:style w:type="paragraph" w:customStyle="1" w:styleId="26">
    <w:name w:val="图说"/>
    <w:basedOn w:val="1"/>
    <w:unhideWhenUsed/>
    <w:qFormat/>
    <w:uiPriority w:val="0"/>
    <w:pPr>
      <w:adjustRightInd w:val="0"/>
      <w:snapToGrid w:val="0"/>
      <w:spacing w:after="157" w:line="313" w:lineRule="atLeast"/>
      <w:jc w:val="center"/>
    </w:pPr>
    <w:rPr>
      <w:sz w:val="18"/>
    </w:rPr>
  </w:style>
  <w:style w:type="paragraph" w:customStyle="1" w:styleId="27">
    <w:name w:val="参考文献内容样式"/>
    <w:basedOn w:val="1"/>
    <w:qFormat/>
    <w:uiPriority w:val="0"/>
    <w:pPr>
      <w:numPr>
        <w:ilvl w:val="0"/>
        <w:numId w:val="1"/>
      </w:numPr>
      <w:tabs>
        <w:tab w:val="left" w:pos="420"/>
      </w:tabs>
    </w:pPr>
    <w:rPr>
      <w:sz w:val="18"/>
      <w:szCs w:val="18"/>
    </w:r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9">
    <w:name w:val="Unresolved Mention"/>
    <w:basedOn w:val="1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3378</Words>
  <Characters>4554</Characters>
  <Lines>129</Lines>
  <Paragraphs>123</Paragraphs>
  <TotalTime>49</TotalTime>
  <ScaleCrop>false</ScaleCrop>
  <LinksUpToDate>false</LinksUpToDate>
  <CharactersWithSpaces>4767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2025-10-22T08:08:00Z</dcterms:created>
  <dc:creator>LENOVO</dc:creator>
  <cp:lastModifiedBy>山</cp:lastModifiedBy>
  <cp:lastPrinted>2026-03-06T02:51:00Z</cp:lastPrinted>
  <dcterms:modified xsi:type="dcterms:W3CDTF">2026-09-27T08:21:53Z</dcterms:modified>
  <dc:title>排版格式与论文书写要求</dc:title>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eyJoZGlkIjoiYWM2MzlkNDEwZmRjOTQyNTg5YTc3NDBiYWE0ZjFiMzEiLCJ1c2VySWQiOiIxNDA4NDE0NjM5In0=</vt:lpwstr>
  </property>
  <property fmtid="{D5CDD505-2E9C-101B-9397-08002B2CF9AE}" pid="3" name="KSOProductBuildVer">
    <vt:lpwstr>2052-12.1.0.22175</vt:lpwstr>
  </property>
  <property fmtid="{D5CDD505-2E9C-101B-9397-08002B2CF9AE}" pid="4" name="ICV">
    <vt:lpwstr>AA02363AD3FB45E8A2E53A0DC4AD66EB_12</vt:lpwstr>
  </property>
</Properties>
</file>